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4A" w:val="clear"/>
            <w:tcMar>
              <w:top w:type="dxa" w:w="280"/>
              <w:left w:type="dxa" w:w="300"/>
              <w:bottom w:type="dxa" w:w="280"/>
              <w:right w:type="dxa" w:w="300"/>
            </w:tcMar>
          </w:tcPr>
          <w:p>
            <w:pPr>
              <w:spacing w:after="80" w:before="0"/>
            </w:pPr>
            <w:r>
              <w:rPr>
                <w:rFonts w:ascii="Arial" w:cs="Arial" w:eastAsia="Arial" w:hAnsi="Arial"/>
                <w:b/>
                <w:bCs/>
                <w:i w:val="false"/>
                <w:iCs w:val="false"/>
                <w:color w:val="FFFFFF"/>
                <w:sz w:val="44"/>
                <w:szCs w:val="44"/>
              </w:rPr>
              <w:t xml:space="preserve">Teacher's Lesson Plan</w:t>
            </w:r>
          </w:p>
          <w:p>
            <w:pPr>
              <w:spacing w:after="60" w:before="0"/>
            </w:pPr>
            <w:r>
              <w:rPr>
                <w:rFonts w:ascii="Arial" w:cs="Arial" w:eastAsia="Arial" w:hAnsi="Arial"/>
                <w:b w:val="false"/>
                <w:bCs w:val="false"/>
                <w:i w:val="false"/>
                <w:iCs w:val="false"/>
                <w:color w:val="7A9ABB"/>
                <w:sz w:val="28"/>
                <w:szCs w:val="28"/>
              </w:rPr>
              <w:t xml:space="preserve">Teenagers Seeking Shelter  ·  B2–C1  ·  Society &amp; Lifestyle · Britain</w:t>
            </w:r>
          </w:p>
          <w:p>
            <w:pPr>
              <w:spacing w:after="0" w:before="0"/>
            </w:pPr>
            <w:r>
              <w:rPr>
                <w:rFonts w:ascii="Arial" w:cs="Arial" w:eastAsia="Arial" w:hAnsi="Arial"/>
                <w:b w:val="false"/>
                <w:bCs w:val="false"/>
                <w:i w:val="false"/>
                <w:iCs w:val="false"/>
                <w:color w:val="5A7A9A"/>
                <w:sz w:val="26"/>
                <w:szCs w:val="26"/>
              </w:rPr>
              <w:t xml:space="preserve">90 min  ·  Modal Perfects  +  Complex Passive</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4A" w:sz="1"/>
              <w:left w:val="single" w:color="1A3A4A" w:sz="1"/>
              <w:bottom w:val="single" w:color="1A3A4A" w:sz="1"/>
              <w:right w:val="single" w:color="1A3A4A" w:sz="1"/>
            </w:tcBorders>
            <w:shd w:fill="E8EFF4" w:val="clear"/>
            <w:tcMar>
              <w:top w:type="dxa" w:w="120"/>
              <w:left w:type="dxa" w:w="200"/>
              <w:bottom w:type="dxa" w:w="120"/>
              <w:right w:type="dxa" w:w="200"/>
            </w:tcMar>
          </w:tcPr>
          <w:p>
            <w:pPr>
              <w:spacing w:after="0" w:before="0"/>
            </w:pPr>
            <w:r>
              <w:rPr>
                <w:rFonts w:ascii="Arial" w:cs="Arial" w:eastAsia="Arial" w:hAnsi="Arial"/>
                <w:b/>
                <w:bCs/>
                <w:i w:val="false"/>
                <w:iCs w:val="false"/>
                <w:color w:val="1B1E2D"/>
                <w:sz w:val="28"/>
                <w:szCs w:val="28"/>
              </w:rPr>
              <w:t xml:space="preserve">Student Handouts 1–6: </w:t>
            </w:r>
            <w:r>
              <w:rPr>
                <w:rFonts w:ascii="Arial" w:cs="Arial" w:eastAsia="Arial" w:hAnsi="Arial"/>
                <w:b/>
                <w:bCs/>
                <w:i w:val="false"/>
                <w:iCs w:val="false"/>
                <w:color w:val="1A3A4A"/>
                <w:sz w:val="28"/>
                <w:szCs w:val="28"/>
              </w:rPr>
              <w:t xml:space="preserve">TeenagersSeeking_Shelter_Student_Handouts.docx</w:t>
            </w:r>
            <w:r>
              <w:rPr>
                <w:rFonts w:ascii="Arial" w:cs="Arial" w:eastAsia="Arial" w:hAnsi="Arial"/>
                <w:b w:val="false"/>
                <w:bCs w:val="false"/>
                <w:i w:val="false"/>
                <w:iCs w:val="false"/>
                <w:color w:val="1B1E2D"/>
                <w:sz w:val="28"/>
                <w:szCs w:val="28"/>
              </w:rPr>
              <w:t xml:space="preserve">  —  print one copy per student.</w:t>
            </w:r>
          </w:p>
        </w:tc>
      </w:tr>
    </w:tbl>
    <w:p>
      <w:pPr>
        <w:spacing w:after="10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6826"/>
      </w:tblGrid>
      <w:tr>
        <w:tc>
          <w:tcPr>
            <w:tcW w:type="dxa" w:w="2200"/>
            <w:tcBorders>
              <w:top w:val="single" w:color="BBBBBB" w:sz="1"/>
              <w:left w:val="single" w:color="BBBBBB" w:sz="1"/>
              <w:bottom w:val="single" w:color="BBBBBB" w:sz="1"/>
              <w:right w:val="single" w:color="BBBBBB" w:sz="1"/>
            </w:tcBorders>
            <w:shd w:fill="E8EFF4" w:val="clear"/>
            <w:tcMar>
              <w:top w:type="dxa" w:w="80"/>
              <w:left w:type="dxa" w:w="120"/>
              <w:bottom w:type="dxa" w:w="80"/>
              <w:right w:type="dxa" w:w="120"/>
            </w:tcMar>
          </w:tcPr>
          <w:p>
            <w:pPr>
              <w:spacing w:after="80" w:before="80"/>
            </w:pPr>
            <w:r>
              <w:rPr>
                <w:rFonts w:ascii="Arial" w:cs="Arial" w:eastAsia="Arial" w:hAnsi="Arial"/>
                <w:b/>
                <w:bCs/>
                <w:i w:val="false"/>
                <w:iCs w:val="false"/>
                <w:color w:val="1A3A4A"/>
                <w:sz w:val="26"/>
                <w:szCs w:val="26"/>
              </w:rPr>
              <w:t xml:space="preserve">Topic</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Youth homelessness in Britain — its scale (136,000 annually), its causes (family breakdown, the cliff edge at 18, LGBTQ+ rejection), and the gap between legal obligation and lived reality.</w:t>
            </w:r>
          </w:p>
        </w:tc>
      </w:tr>
      <w:tr>
        <w:tc>
          <w:tcPr>
            <w:tcW w:type="dxa" w:w="2200"/>
            <w:tcBorders>
              <w:top w:val="single" w:color="BBBBBB" w:sz="1"/>
              <w:left w:val="single" w:color="BBBBBB" w:sz="1"/>
              <w:bottom w:val="single" w:color="BBBBBB" w:sz="1"/>
              <w:right w:val="single" w:color="BBBBBB" w:sz="1"/>
            </w:tcBorders>
            <w:shd w:fill="E8EFF4" w:val="clear"/>
            <w:tcMar>
              <w:top w:type="dxa" w:w="80"/>
              <w:left w:type="dxa" w:w="120"/>
              <w:bottom w:type="dxa" w:w="80"/>
              <w:right w:type="dxa" w:w="120"/>
            </w:tcMar>
          </w:tcPr>
          <w:p>
            <w:pPr>
              <w:spacing w:after="80" w:before="80"/>
            </w:pPr>
            <w:r>
              <w:rPr>
                <w:rFonts w:ascii="Arial" w:cs="Arial" w:eastAsia="Arial" w:hAnsi="Arial"/>
                <w:b/>
                <w:bCs/>
                <w:i w:val="false"/>
                <w:iCs w:val="false"/>
                <w:color w:val="1A3A4A"/>
                <w:sz w:val="26"/>
                <w:szCs w:val="26"/>
              </w:rPr>
              <w:t xml:space="preserve">Level</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B2–C1 (upper-intermediate to advanced)</w:t>
            </w:r>
          </w:p>
        </w:tc>
      </w:tr>
      <w:tr>
        <w:tc>
          <w:tcPr>
            <w:tcW w:type="dxa" w:w="2200"/>
            <w:tcBorders>
              <w:top w:val="single" w:color="BBBBBB" w:sz="1"/>
              <w:left w:val="single" w:color="BBBBBB" w:sz="1"/>
              <w:bottom w:val="single" w:color="BBBBBB" w:sz="1"/>
              <w:right w:val="single" w:color="BBBBBB" w:sz="1"/>
            </w:tcBorders>
            <w:shd w:fill="E8EFF4" w:val="clear"/>
            <w:tcMar>
              <w:top w:type="dxa" w:w="80"/>
              <w:left w:type="dxa" w:w="120"/>
              <w:bottom w:type="dxa" w:w="80"/>
              <w:right w:type="dxa" w:w="120"/>
            </w:tcMar>
          </w:tcPr>
          <w:p>
            <w:pPr>
              <w:spacing w:after="80" w:before="80"/>
            </w:pPr>
            <w:r>
              <w:rPr>
                <w:rFonts w:ascii="Arial" w:cs="Arial" w:eastAsia="Arial" w:hAnsi="Arial"/>
                <w:b/>
                <w:bCs/>
                <w:i w:val="false"/>
                <w:iCs w:val="false"/>
                <w:color w:val="1A3A4A"/>
                <w:sz w:val="26"/>
                <w:szCs w:val="26"/>
              </w:rPr>
              <w:t xml:space="preserve">Duration</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90 minutes</w:t>
            </w:r>
          </w:p>
        </w:tc>
      </w:tr>
      <w:tr>
        <w:tc>
          <w:tcPr>
            <w:tcW w:type="dxa" w:w="2200"/>
            <w:tcBorders>
              <w:top w:val="single" w:color="BBBBBB" w:sz="1"/>
              <w:left w:val="single" w:color="BBBBBB" w:sz="1"/>
              <w:bottom w:val="single" w:color="BBBBBB" w:sz="1"/>
              <w:right w:val="single" w:color="BBBBBB" w:sz="1"/>
            </w:tcBorders>
            <w:shd w:fill="E8EFF4" w:val="clear"/>
            <w:tcMar>
              <w:top w:type="dxa" w:w="80"/>
              <w:left w:type="dxa" w:w="120"/>
              <w:bottom w:type="dxa" w:w="80"/>
              <w:right w:type="dxa" w:w="120"/>
            </w:tcMar>
          </w:tcPr>
          <w:p>
            <w:pPr>
              <w:spacing w:after="80" w:before="80"/>
            </w:pPr>
            <w:r>
              <w:rPr>
                <w:rFonts w:ascii="Arial" w:cs="Arial" w:eastAsia="Arial" w:hAnsi="Arial"/>
                <w:b/>
                <w:bCs/>
                <w:i w:val="false"/>
                <w:iCs w:val="false"/>
                <w:color w:val="1A3A4A"/>
                <w:sz w:val="26"/>
                <w:szCs w:val="26"/>
              </w:rPr>
              <w:t xml:space="preserve">Grammar</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Modal perfects (must have, should have, could have, might have, needn't have, ought to have) + passive modal perfects</w:t>
            </w:r>
          </w:p>
        </w:tc>
      </w:tr>
      <w:tr>
        <w:tc>
          <w:tcPr>
            <w:tcW w:type="dxa" w:w="2200"/>
            <w:tcBorders>
              <w:top w:val="single" w:color="BBBBBB" w:sz="1"/>
              <w:left w:val="single" w:color="BBBBBB" w:sz="1"/>
              <w:bottom w:val="single" w:color="BBBBBB" w:sz="1"/>
              <w:right w:val="single" w:color="BBBBBB" w:sz="1"/>
            </w:tcBorders>
            <w:shd w:fill="E8EFF4" w:val="clear"/>
            <w:tcMar>
              <w:top w:type="dxa" w:w="80"/>
              <w:left w:type="dxa" w:w="120"/>
              <w:bottom w:type="dxa" w:w="80"/>
              <w:right w:type="dxa" w:w="120"/>
            </w:tcMar>
          </w:tcPr>
          <w:p>
            <w:pPr>
              <w:spacing w:after="80" w:before="80"/>
            </w:pPr>
            <w:r>
              <w:rPr>
                <w:rFonts w:ascii="Arial" w:cs="Arial" w:eastAsia="Arial" w:hAnsi="Arial"/>
                <w:b/>
                <w:bCs/>
                <w:i w:val="false"/>
                <w:iCs w:val="false"/>
                <w:color w:val="1A3A4A"/>
                <w:sz w:val="26"/>
                <w:szCs w:val="26"/>
              </w:rPr>
              <w:t xml:space="preserve">Vocabulary</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12 words (B2–C1): precarious · statutory · estranged · destitute · sofa-surfing · tenancy · endemic · concealed · threshold · safeguarding · provision · vulnerable</w:t>
            </w:r>
          </w:p>
        </w:tc>
      </w:tr>
      <w:tr>
        <w:tc>
          <w:tcPr>
            <w:tcW w:type="dxa" w:w="2200"/>
            <w:tcBorders>
              <w:top w:val="single" w:color="BBBBBB" w:sz="1"/>
              <w:left w:val="single" w:color="BBBBBB" w:sz="1"/>
              <w:bottom w:val="single" w:color="BBBBBB" w:sz="1"/>
              <w:right w:val="single" w:color="BBBBBB" w:sz="1"/>
            </w:tcBorders>
            <w:shd w:fill="E8EFF4" w:val="clear"/>
            <w:tcMar>
              <w:top w:type="dxa" w:w="80"/>
              <w:left w:type="dxa" w:w="120"/>
              <w:bottom w:type="dxa" w:w="80"/>
              <w:right w:type="dxa" w:w="120"/>
            </w:tcMar>
          </w:tcPr>
          <w:p>
            <w:pPr>
              <w:spacing w:after="80" w:before="80"/>
            </w:pPr>
            <w:r>
              <w:rPr>
                <w:rFonts w:ascii="Arial" w:cs="Arial" w:eastAsia="Arial" w:hAnsi="Arial"/>
                <w:b/>
                <w:bCs/>
                <w:i w:val="false"/>
                <w:iCs w:val="false"/>
                <w:color w:val="1A3A4A"/>
                <w:sz w:val="26"/>
                <w:szCs w:val="26"/>
              </w:rPr>
              <w:t xml:space="preserve">Note</w:t>
            </w:r>
          </w:p>
        </w:tc>
        <w:tc>
          <w:tcPr>
            <w:tcW w:type="dxa" w:w="68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after="80" w:before="80"/>
            </w:pPr>
            <w:r>
              <w:rPr>
                <w:rFonts w:ascii="Arial" w:cs="Arial" w:eastAsia="Arial" w:hAnsi="Arial"/>
                <w:b w:val="false"/>
                <w:bCs w:val="false"/>
                <w:i w:val="false"/>
                <w:iCs w:val="false"/>
                <w:color w:val="1B1E2D"/>
                <w:sz w:val="28"/>
                <w:szCs w:val="28"/>
              </w:rPr>
              <w:t xml:space="preserve">Some students may have personal experience of housing insecurity. Introduce the topic with care. This is a discussion lesson about a social issue -- not an invitation to share personal difficulties.</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4A" w:sz="6" w:space="2"/>
        </w:pBdr>
        <w:spacing w:after="140" w:before="280"/>
      </w:pPr>
      <w:r>
        <w:rPr>
          <w:rFonts w:ascii="Arial" w:cs="Arial" w:eastAsia="Arial" w:hAnsi="Arial"/>
          <w:b/>
          <w:bCs/>
          <w:i w:val="false"/>
          <w:iCs w:val="false"/>
          <w:color w:val="1A3A4A"/>
          <w:sz w:val="30"/>
          <w:szCs w:val="30"/>
        </w:rPr>
        <w:t xml:space="preserve">Key Background Facts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4A" w:sz="1"/>
              <w:left w:val="single" w:color="1A3A4A" w:sz="1"/>
              <w:bottom w:val="single" w:color="1A3A4A" w:sz="1"/>
              <w:right w:val="single" w:color="1A3A4A" w:sz="1"/>
            </w:tcBorders>
            <w:shd w:fill="E8EFF4" w:val="clear"/>
            <w:tcMar>
              <w:top w:type="dxa" w:w="120"/>
              <w:left w:type="dxa" w:w="180"/>
              <w:bottom w:type="dxa" w:w="120"/>
              <w:right w:type="dxa" w:w="180"/>
            </w:tcMar>
          </w:tcPr>
          <w:p>
            <w:pPr>
              <w:spacing w:after="80" w:before="0"/>
            </w:pPr>
            <w:r>
              <w:rPr>
                <w:rFonts w:ascii="Arial" w:cs="Arial" w:eastAsia="Arial" w:hAnsi="Arial"/>
                <w:b/>
                <w:bCs/>
                <w:i w:val="false"/>
                <w:iCs w:val="false"/>
                <w:color w:val="1B1E2D"/>
                <w:sz w:val="28"/>
                <w:szCs w:val="28"/>
              </w:rPr>
              <w:t xml:space="preserve">Scale: </w:t>
            </w:r>
            <w:r>
              <w:rPr>
                <w:rFonts w:ascii="Arial" w:cs="Arial" w:eastAsia="Arial" w:hAnsi="Arial"/>
                <w:b w:val="false"/>
                <w:bCs w:val="false"/>
                <w:i w:val="false"/>
                <w:iCs w:val="false"/>
                <w:color w:val="1B1E2D"/>
                <w:sz w:val="28"/>
                <w:szCs w:val="28"/>
              </w:rPr>
              <w:t xml:space="preserve">Centrepoint estimates ~136,000 young people (16–24) experience homelessness in England annually. The majority are 'hidden' — sofa-surfing rather than sleeping rough.</w:t>
            </w:r>
          </w:p>
          <w:p>
            <w:pPr>
              <w:spacing w:after="80" w:before="0"/>
            </w:pPr>
            <w:r>
              <w:rPr>
                <w:rFonts w:ascii="Arial" w:cs="Arial" w:eastAsia="Arial" w:hAnsi="Arial"/>
                <w:b/>
                <w:bCs/>
                <w:i w:val="false"/>
                <w:iCs w:val="false"/>
                <w:color w:val="1B1E2D"/>
                <w:sz w:val="28"/>
                <w:szCs w:val="28"/>
              </w:rPr>
              <w:t xml:space="preserve">The cliff edge: </w:t>
            </w:r>
            <w:r>
              <w:rPr>
                <w:rFonts w:ascii="Arial" w:cs="Arial" w:eastAsia="Arial" w:hAnsi="Arial"/>
                <w:b w:val="false"/>
                <w:bCs w:val="false"/>
                <w:i w:val="false"/>
                <w:iCs w:val="false"/>
                <w:color w:val="1B1E2D"/>
                <w:sz w:val="28"/>
                <w:szCs w:val="28"/>
              </w:rPr>
              <w:t xml:space="preserve">When young people leave local authority care at 18, statutory support is substantially reduced. Many have never held a tenancy, have no guarantor, and lack references required by private landlords.</w:t>
            </w:r>
          </w:p>
          <w:p>
            <w:pPr>
              <w:spacing w:after="80" w:before="0"/>
            </w:pPr>
            <w:r>
              <w:rPr>
                <w:rFonts w:ascii="Arial" w:cs="Arial" w:eastAsia="Arial" w:hAnsi="Arial"/>
                <w:b/>
                <w:bCs/>
                <w:i w:val="false"/>
                <w:iCs w:val="false"/>
                <w:color w:val="1B1E2D"/>
                <w:sz w:val="28"/>
                <w:szCs w:val="28"/>
              </w:rPr>
              <w:t xml:space="preserve">Legal duty: </w:t>
            </w:r>
            <w:r>
              <w:rPr>
                <w:rFonts w:ascii="Arial" w:cs="Arial" w:eastAsia="Arial" w:hAnsi="Arial"/>
                <w:b w:val="false"/>
                <w:bCs w:val="false"/>
                <w:i w:val="false"/>
                <w:iCs w:val="false"/>
                <w:color w:val="1B1E2D"/>
                <w:sz w:val="28"/>
                <w:szCs w:val="28"/>
              </w:rPr>
              <w:t xml:space="preserve">The Homelessness Reduction Act 2017 places a duty on local authorities to take reasonable steps to prevent homelessness within 56 days — but funding and enforcement are patchy.</w:t>
            </w:r>
          </w:p>
          <w:p>
            <w:pPr>
              <w:spacing w:after="0" w:before="0"/>
            </w:pPr>
            <w:r>
              <w:rPr>
                <w:rFonts w:ascii="Arial" w:cs="Arial" w:eastAsia="Arial" w:hAnsi="Arial"/>
                <w:b/>
                <w:bCs/>
                <w:i w:val="false"/>
                <w:iCs w:val="false"/>
                <w:color w:val="1B1E2D"/>
                <w:sz w:val="28"/>
                <w:szCs w:val="28"/>
              </w:rPr>
              <w:t xml:space="preserve">LGBTQ+: </w:t>
            </w:r>
            <w:r>
              <w:rPr>
                <w:rFonts w:ascii="Arial" w:cs="Arial" w:eastAsia="Arial" w:hAnsi="Arial"/>
                <w:b w:val="false"/>
                <w:bCs w:val="false"/>
                <w:i w:val="false"/>
                <w:iCs w:val="false"/>
                <w:color w:val="1B1E2D"/>
                <w:sz w:val="28"/>
                <w:szCs w:val="28"/>
              </w:rPr>
              <w:t xml:space="preserve">Disproportionately represented among homeless youth. Family rejection following disclosure is a significant pathway into homelessness.</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4A" w:sz="6" w:space="2"/>
        </w:pBdr>
        <w:spacing w:after="140" w:before="280"/>
      </w:pPr>
      <w:r>
        <w:rPr>
          <w:rFonts w:ascii="Arial" w:cs="Arial" w:eastAsia="Arial" w:hAnsi="Arial"/>
          <w:b/>
          <w:bCs/>
          <w:i w:val="false"/>
          <w:iCs w:val="false"/>
          <w:color w:val="1A3A4A"/>
          <w:sz w:val="30"/>
          <w:szCs w:val="30"/>
        </w:rPr>
        <w:t xml:space="preserve">Teaching Notes</w:t>
      </w:r>
    </w:p>
    <w:p>
      <w:pPr>
        <w:spacing w:after="80" w:before="80"/>
      </w:pPr>
      <w:r>
        <w:rPr>
          <w:rFonts w:ascii="Arial" w:cs="Arial" w:eastAsia="Arial" w:hAnsi="Arial"/>
          <w:b w:val="false"/>
          <w:bCs w:val="false"/>
          <w:i w:val="false"/>
          <w:iCs w:val="false"/>
          <w:color w:val="1B1E2D"/>
          <w:sz w:val="28"/>
          <w:szCs w:val="28"/>
        </w:rPr>
        <w:t xml:space="preserve">ON THE GRAMMAR: Modal perfects occur naturally throughout this topic. Students at B2-C1 often know the forms but underuse them. This lesson gives them genuine communicative reasons to use them -- to respond to real situations with real moral weight. Concept check: modal perfects always refer to the past.
ON THE READING TEXT: Written in a British broadsheet style -- complex sentences, embedded clauses, sophisticated vocabulary, measured but critical tone. Do not pre-teach all vocabulary. Task 1 (T/F/NG) requires gist; Task 2 (inference) requires close reading.
ON THE LISTENING: Maya is a professional youth worker -- warm, unhurried, non-judgemental. Jamie is guarded but not hostile. Read Jamie with restraint. The bus station detail is important -- read it slowly the second time. Note Maya's two modal perfect structures: 'It should have been triggered already' and 'They should never have said that.'
ON THE ROLE PLAY: Deliberately uncomfortable. The case worker has limited resources but a genuine legal duty. Debrief carefully: what was hard? What would a just system look like? This discomfort is the point.
ON THE ESSAY: A good essay at B2-C1 should not only express an opinion but marshal evidence, acknowledge complexity, and use precise language. The three requirements (vocabulary, modal perfects, passive modal) are in service of this.</w:t>
      </w:r>
    </w:p>
    <w:p>
      <w:pPr>
        <w:spacing w:after="100" w:before="0"/>
      </w:pPr>
      <w:r>
        <w:rPr>
          <w:rFonts w:ascii="Arial" w:cs="Arial" w:eastAsia="Arial" w:hAnsi="Arial"/>
          <w:b w:val="false"/>
          <w:bCs w:val="false"/>
          <w:i w:val="false"/>
          <w:iCs w:val="false"/>
          <w:color w:val="1B1E2D"/>
          <w:sz w:val="28"/>
          <w:szCs w:val="28"/>
        </w:rPr>
        <w:t xml:space="preserve"/>
      </w:r>
    </w:p>
    <w:p>
      <w:pPr>
        <w:pBdr>
          <w:bottom w:val="single" w:color="1A3A4A" w:sz="6" w:space="2"/>
        </w:pBdr>
        <w:spacing w:after="140" w:before="280"/>
      </w:pPr>
      <w:r>
        <w:rPr>
          <w:rFonts w:ascii="Arial" w:cs="Arial" w:eastAsia="Arial" w:hAnsi="Arial"/>
          <w:b/>
          <w:bCs/>
          <w:i w:val="false"/>
          <w:iCs w:val="false"/>
          <w:color w:val="1A3A4A"/>
          <w:sz w:val="30"/>
          <w:szCs w:val="30"/>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4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Time</w:t>
            </w:r>
          </w:p>
        </w:tc>
        <w:tc>
          <w:tcPr>
            <w:tcW w:type="dxa" w:w="1100"/>
            <w:tcBorders>
              <w:top w:val="none" w:color="FFFFFF" w:sz="0"/>
              <w:left w:val="none" w:color="FFFFFF" w:sz="0"/>
              <w:bottom w:val="none" w:color="FFFFFF" w:sz="0"/>
              <w:right w:val="none" w:color="FFFFFF" w:sz="0"/>
            </w:tcBorders>
            <w:shd w:fill="1A3A4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Stage</w:t>
            </w:r>
          </w:p>
        </w:tc>
        <w:tc>
          <w:tcPr>
            <w:tcW w:type="dxa" w:w="940"/>
            <w:tcBorders>
              <w:top w:val="none" w:color="FFFFFF" w:sz="0"/>
              <w:left w:val="none" w:color="FFFFFF" w:sz="0"/>
              <w:bottom w:val="none" w:color="FFFFFF" w:sz="0"/>
              <w:right w:val="none" w:color="FFFFFF" w:sz="0"/>
            </w:tcBorders>
            <w:shd w:fill="1A3A4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Skill</w:t>
            </w:r>
          </w:p>
        </w:tc>
        <w:tc>
          <w:tcPr>
            <w:tcW w:type="dxa" w:w="3063"/>
            <w:tcBorders>
              <w:top w:val="none" w:color="FFFFFF" w:sz="0"/>
              <w:left w:val="none" w:color="FFFFFF" w:sz="0"/>
              <w:bottom w:val="none" w:color="FFFFFF" w:sz="0"/>
              <w:right w:val="none" w:color="FFFFFF" w:sz="0"/>
            </w:tcBorders>
            <w:shd w:fill="1A3A4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Teacher does</w:t>
            </w:r>
          </w:p>
        </w:tc>
        <w:tc>
          <w:tcPr>
            <w:tcW w:type="dxa" w:w="3063"/>
            <w:tcBorders>
              <w:top w:val="none" w:color="FFFFFF" w:sz="0"/>
              <w:left w:val="none" w:color="FFFFFF" w:sz="0"/>
              <w:bottom w:val="none" w:color="FFFFFF" w:sz="0"/>
              <w:right w:val="none" w:color="FFFFFF" w:sz="0"/>
            </w:tcBorders>
            <w:shd w:fill="1A3A4A" w:val="clear"/>
            <w:tcMar>
              <w:top w:type="dxa" w:w="100"/>
              <w:left w:type="dxa" w:w="100"/>
              <w:bottom w:type="dxa" w:w="100"/>
              <w:right w:type="dxa" w:w="100"/>
            </w:tcMar>
          </w:tcPr>
          <w:p>
            <w:pPr>
              <w:spacing w:after="0" w:before="0"/>
            </w:pPr>
            <w:r>
              <w:rPr>
                <w:rFonts w:ascii="Arial" w:cs="Arial" w:eastAsia="Arial" w:hAnsi="Arial"/>
                <w:b/>
                <w:bCs/>
                <w:i w:val="false"/>
                <w:iCs w:val="false"/>
                <w:color w:val="FFFFFF"/>
                <w:sz w:val="22"/>
                <w:szCs w:val="22"/>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Board: 'Imagine you are 17. Your parents have asked you to leave. Tonight.' Pause. 'What would you do? Where would you go?' Take answers. Then: 'In Britain, this happens to tens of thousands of teenagers every year.'</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Respond. Speculate.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H1: vocabulary cards + Task A (meaning in context) + Task B (register sort). Focus on the legal/personal registers -- both recur throughout.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Match. Sort. Use in sentences.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18-35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 Modal perfects. Concept check: time reference (past), meaning (deduction, criticism, regret, possibility). Then passive modal perfects. Exercises 1-3.</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Fill. Discriminate. Transform.</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35-50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'The Hidden Crisis.' Read silently (5 min). Task 1: T/F/NG. Task 2: inference. Discuss: which statistic surprised you most?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Infer.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50-63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Read TWICE. Context: Maya is a youth worker; Jamie came in at 8.30 a.m. Tasks 1-4. Note modal perfects in context.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Listen. Select. Reflect.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63-78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Task A: discussion (6 min). Task B: role play (8 min) + debrief. Task C: debate prompt (4 min).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Discuss. Role play. Debate.</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78-90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in class (3 min). Write at home or complete in class. Discursive essay 250-300 words.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after="0" w:before="0"/>
            </w:pPr>
            <w:r>
              <w:rPr>
                <w:rFonts w:ascii="Arial" w:cs="Arial" w:eastAsia="Arial" w:hAnsi="Arial"/>
                <w:b w:val="false"/>
                <w:bCs w:val="false"/>
                <w:i w:val="false"/>
                <w:iCs w:val="false"/>
                <w:color w:val="1B1E2D"/>
                <w:sz w:val="22"/>
                <w:szCs w:val="22"/>
              </w:rPr>
              <w:t xml:space="preserve">Plan. Begin writing.</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4A" w:sz="6" w:space="2"/>
        </w:pBdr>
        <w:spacing w:after="140" w:before="280"/>
      </w:pPr>
      <w:r>
        <w:rPr>
          <w:rFonts w:ascii="Arial" w:cs="Arial" w:eastAsia="Arial" w:hAnsi="Arial"/>
          <w:b/>
          <w:bCs/>
          <w:i w:val="false"/>
          <w:iCs w:val="false"/>
          <w:color w:val="1A3A4A"/>
          <w:sz w:val="30"/>
          <w:szCs w:val="30"/>
        </w:rPr>
        <w:t xml:space="preserve">Listening Script — 'First Thing in the Morning'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after="80" w:before="80"/>
            </w:pPr>
            <w:r>
              <w:rPr>
                <w:rFonts w:ascii="Arial" w:cs="Arial" w:eastAsia="Arial" w:hAnsi="Arial"/>
                <w:b/>
                <w:bCs/>
                <w:i w:val="false"/>
                <w:iCs w:val="false"/>
                <w:color w:val="1B1E2D"/>
                <w:sz w:val="28"/>
                <w:szCs w:val="28"/>
              </w:rPr>
              <w:t xml:space="preserve">Maya is a youth worker at a drop-in centre in Birmingham. Jamie (17) arrived when the centre opened. Read TWICE. Maya: professional, warm, unhurried. Jamie: guarded, trying to hold it together. Read the bus station detail slowly the second time.</w:t>
            </w:r>
          </w:p>
        </w:tc>
      </w:tr>
    </w:tbl>
    <w:p>
      <w:pPr>
        <w:spacing w:after="80" w:before="0"/>
      </w:pPr>
      <w:r>
        <w:rPr>
          <w:rFonts w:ascii="Arial" w:cs="Arial" w:eastAsia="Arial" w:hAnsi="Arial"/>
          <w:b w:val="false"/>
          <w:bCs w:val="false"/>
          <w:i w:val="false"/>
          <w:iCs w:val="false"/>
          <w:color w:val="1B1E2D"/>
          <w:sz w:val="28"/>
          <w:szCs w:val="28"/>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Come in. I'm Maya. You can sit anywhere — here, by the window if you like. Can I get you anything? Tea, coffee, water?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Water's fine. Thanks.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You were here when we opened. That's 8.30. Have you been out all night?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Not exactly. I was at New Street — the bus station. They don't close it. You can sit there.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Right. How long have you been without somewhere to stay?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Four days. Five, maybe. I was at my mate's before that, but his mum said I had to go.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Okay. And your own home — can you tell me what happened there?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My stepdad. We don't -- we don't get on. He told my mum it was him or me. And she... yeah.</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I'm sorry. That's a really hard thing to go through. And your mum -- is she in contact?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She texted. Said she was sorry. I haven't replied.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That makes sense. You don't have to reply to anything right now. What I want to do today is work out what options we have for you -- housing, support, school. You're still in school?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Sixth form. I've got A levels in June. I haven't been in for a week.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Okay. We're going to make sure that doesn't derail things. You should know -- you have rights here. The local authority has a duty to help you. It should have been triggered already, but we can do that today.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I went to the council. They told me to come back when I was 18.</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That is completely wrong. They should never have said that. You're a child -- you have priority need. I'm going to make a call on your behalf. Is that okay?</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Yeah. Yeah, that's... thank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You haven't done anything wrong. You know that, don't you?</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Everyone keeps saying that.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Maya:</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Does it feel true yet?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026"/>
      </w:tblGrid>
      <w:tr>
        <w:tc>
          <w:tcPr>
            <w:tcW w:type="dxa" w:w="1000"/>
            <w:tcBorders>
              <w:top w:val="none" w:color="FFFFFF" w:sz="0"/>
              <w:left w:val="none" w:color="FFFFFF" w:sz="0"/>
              <w:bottom w:val="none" w:color="FFFFFF" w:sz="0"/>
              <w:right w:val="none" w:color="FFFFFF" w:sz="0"/>
            </w:tcBorders>
            <w:tcMar>
              <w:top w:type="dxa" w:w="50"/>
              <w:left w:type="dxa" w:w="0"/>
              <w:bottom w:type="dxa" w:w="50"/>
              <w:right w:type="dxa" w:w="100"/>
            </w:tcMar>
          </w:tcPr>
          <w:p>
            <w:pPr>
              <w:spacing w:after="0" w:before="0"/>
            </w:pPr>
            <w:r>
              <w:rPr>
                <w:rFonts w:ascii="Arial" w:cs="Arial" w:eastAsia="Arial" w:hAnsi="Arial"/>
                <w:b/>
                <w:bCs/>
                <w:i w:val="false"/>
                <w:iCs w:val="false"/>
                <w:color w:val="3A6A8A"/>
                <w:sz w:val="26"/>
                <w:szCs w:val="26"/>
              </w:rPr>
              <w:t xml:space="preserve">Jamie:</w:t>
            </w:r>
          </w:p>
        </w:tc>
        <w:tc>
          <w:tcPr>
            <w:tcW w:type="dxa" w:w="8026"/>
            <w:tcBorders>
              <w:top w:val="none" w:color="FFFFFF" w:sz="0"/>
              <w:left w:val="none" w:color="FFFFFF" w:sz="0"/>
              <w:bottom w:val="none" w:color="FFFFFF" w:sz="0"/>
              <w:right w:val="none" w:color="FFFFFF" w:sz="0"/>
            </w:tcBorders>
            <w:tcMar>
              <w:top w:type="dxa" w:w="50"/>
              <w:left w:type="dxa" w:w="0"/>
              <w:bottom w:type="dxa" w:w="50"/>
              <w:right w:type="dxa" w:w="0"/>
            </w:tcMar>
          </w:tcPr>
          <w:p>
            <w:pPr>
              <w:spacing w:after="50" w:before="50"/>
            </w:pPr>
            <w:r>
              <w:rPr>
                <w:rFonts w:ascii="Arial" w:cs="Arial" w:eastAsia="Arial" w:hAnsi="Arial"/>
                <w:b w:val="false"/>
                <w:bCs w:val="false"/>
                <w:i w:val="false"/>
                <w:iCs w:val="false"/>
                <w:color w:val="1B1E2D"/>
                <w:sz w:val="28"/>
                <w:szCs w:val="28"/>
              </w:rPr>
              <w:t xml:space="preserve">...Not really.</w:t>
            </w:r>
          </w:p>
        </w:tc>
      </w:tr>
    </w:tbl>
    <w:p>
      <w:pPr>
        <w:spacing w:after="100" w:before="0"/>
      </w:pPr>
      <w:r>
        <w:rPr>
          <w:rFonts w:ascii="Arial" w:cs="Arial" w:eastAsia="Arial" w:hAnsi="Arial"/>
          <w:b w:val="false"/>
          <w:bCs w:val="false"/>
          <w:i w:val="false"/>
          <w:iCs w:val="false"/>
          <w:color w:val="1B1E2D"/>
          <w:sz w:val="28"/>
          <w:szCs w:val="28"/>
        </w:rPr>
        <w:t xml:space="preserve"/>
      </w:r>
    </w:p>
    <w:p>
      <w:pPr>
        <w:pBdr>
          <w:bottom w:val="single" w:color="1A3A4A" w:sz="6" w:space="2"/>
        </w:pBdr>
        <w:spacing w:after="140" w:before="280"/>
      </w:pPr>
      <w:r>
        <w:rPr>
          <w:rFonts w:ascii="Arial" w:cs="Arial" w:eastAsia="Arial" w:hAnsi="Arial"/>
          <w:b/>
          <w:bCs/>
          <w:i w:val="false"/>
          <w:iCs w:val="false"/>
          <w:color w:val="1A3A4A"/>
          <w:sz w:val="30"/>
          <w:szCs w:val="30"/>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4A" w:sz="1"/>
              <w:left w:val="single" w:color="1A3A4A" w:sz="1"/>
              <w:bottom w:val="single" w:color="1A3A4A" w:sz="1"/>
              <w:right w:val="single" w:color="1A3A4A" w:sz="1"/>
            </w:tcBorders>
            <w:shd w:fill="E8EFF4" w:val="clear"/>
            <w:tcMar>
              <w:top w:type="dxa" w:w="120"/>
              <w:left w:type="dxa" w:w="180"/>
              <w:bottom w:type="dxa" w:w="120"/>
              <w:right w:type="dxa" w:w="180"/>
            </w:tcMar>
          </w:tcPr>
          <w:p>
            <w:pPr>
              <w:spacing w:after="70" w:before="0"/>
            </w:pPr>
            <w:r>
              <w:rPr>
                <w:rFonts w:ascii="Arial" w:cs="Arial" w:eastAsia="Arial" w:hAnsi="Arial"/>
                <w:b/>
                <w:bCs/>
                <w:i w:val="false"/>
                <w:iCs w:val="false"/>
                <w:color w:val="1A5A3A"/>
                <w:sz w:val="26"/>
                <w:szCs w:val="26"/>
              </w:rPr>
              <w:t xml:space="preserve">H1 Task A (meaning in context):</w:t>
            </w:r>
          </w:p>
          <w:p>
            <w:pPr>
              <w:spacing w:after="80" w:before="80"/>
            </w:pPr>
            <w:r>
              <w:rPr>
                <w:rFonts w:ascii="Arial" w:cs="Arial" w:eastAsia="Arial" w:hAnsi="Arial"/>
                <w:b w:val="false"/>
                <w:bCs w:val="false"/>
                <w:i w:val="false"/>
                <w:iCs w:val="false"/>
                <w:color w:val="1B1E2D"/>
                <w:sz w:val="28"/>
                <w:szCs w:val="28"/>
              </w:rPr>
              <w:t xml:space="preserve">1. concealed  2. statutory  3. destitute  4. threshold  5. estranged  6. provision  7. tenancy  8. precarious</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1 (modal perfects):</w:t>
            </w:r>
          </w:p>
          <w:p>
            <w:pPr>
              <w:spacing w:after="80" w:before="80"/>
            </w:pPr>
            <w:r>
              <w:rPr>
                <w:rFonts w:ascii="Arial" w:cs="Arial" w:eastAsia="Arial" w:hAnsi="Arial"/>
                <w:b w:val="false"/>
                <w:bCs w:val="false"/>
                <w:i w:val="false"/>
                <w:iCs w:val="false"/>
                <w:color w:val="1B1E2D"/>
                <w:sz w:val="28"/>
                <w:szCs w:val="28"/>
              </w:rPr>
              <w:t xml:space="preserve">1. must have been exhausted  2. should have been referred  3. could have flagged  4. needn't have happened  5. might not have known  6. should have been allocated  7. can't have read  8. ought to have received</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2 (meaning):</w:t>
            </w:r>
          </w:p>
          <w:p>
            <w:pPr>
              <w:spacing w:after="80" w:before="80"/>
            </w:pPr>
            <w:r>
              <w:rPr>
                <w:rFonts w:ascii="Arial" w:cs="Arial" w:eastAsia="Arial" w:hAnsi="Arial"/>
                <w:b w:val="false"/>
                <w:bCs w:val="false"/>
                <w:i w:val="false"/>
                <w:iCs w:val="false"/>
                <w:color w:val="1B1E2D"/>
                <w:sz w:val="28"/>
                <w:szCs w:val="28"/>
              </w:rPr>
              <w:t xml:space="preserve">1-d  2-b  3-a  4-c  5-b  6-d</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8B5E00"/>
                <w:sz w:val="26"/>
                <w:szCs w:val="26"/>
              </w:rPr>
              <w:t xml:space="preserve">H2 Exercise 3 (passive transformation):</w:t>
            </w:r>
          </w:p>
          <w:p>
            <w:pPr>
              <w:spacing w:after="80" w:before="80"/>
            </w:pPr>
            <w:r>
              <w:rPr>
                <w:rFonts w:ascii="Arial" w:cs="Arial" w:eastAsia="Arial" w:hAnsi="Arial"/>
                <w:b w:val="false"/>
                <w:bCs w:val="false"/>
                <w:i w:val="false"/>
                <w:iCs w:val="false"/>
                <w:color w:val="1B1E2D"/>
                <w:sz w:val="28"/>
                <w:szCs w:val="28"/>
              </w:rPr>
              <w:t xml:space="preserve">1. Jamie should have been referred to emergency housing immediately.  2. The officer must have been given incorrect information about the law.  3. These young people could have been placed in suitable accommodation.  4. A 17-year-old should never have been sent away without a full assessment.</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1A3A6B"/>
                <w:sz w:val="26"/>
                <w:szCs w:val="26"/>
              </w:rPr>
              <w:t xml:space="preserve">H3 Reading T/F/NG:</w:t>
            </w:r>
          </w:p>
          <w:p>
            <w:pPr>
              <w:spacing w:after="80" w:before="80"/>
            </w:pPr>
            <w:r>
              <w:rPr>
                <w:rFonts w:ascii="Arial" w:cs="Arial" w:eastAsia="Arial" w:hAnsi="Arial"/>
                <w:b w:val="false"/>
                <w:bCs w:val="false"/>
                <w:i w:val="false"/>
                <w:iCs w:val="false"/>
                <w:color w:val="1B1E2D"/>
                <w:sz w:val="28"/>
                <w:szCs w:val="28"/>
              </w:rPr>
              <w:t xml:space="preserve">1 T  2 F (true figure is 'almost certainly higher' -- not an overestimate)  3 NG (LGBTQ+ family rejection cited, not school problems)  4 T  5 F (provisions may be 'inadequate in practice')  6 T</w:t>
            </w:r>
          </w:p>
          <w:p>
            <w:pPr>
              <w:spacing w:after="60" w:before="0"/>
            </w:pPr>
            <w:r>
              <w:rPr>
                <w:rFonts w:ascii="Arial" w:cs="Arial" w:eastAsia="Arial" w:hAnsi="Arial"/>
                <w:b w:val="false"/>
                <w:bCs w:val="false"/>
                <w:i w:val="false"/>
                <w:iCs w:val="false"/>
                <w:color w:val="1B1E2D"/>
                <w:sz w:val="28"/>
                <w:szCs w:val="28"/>
              </w:rPr>
              <w:t xml:space="preserve"/>
            </w:r>
          </w:p>
          <w:p>
            <w:pPr>
              <w:spacing w:after="70" w:before="0"/>
            </w:pPr>
            <w:r>
              <w:rPr>
                <w:rFonts w:ascii="Arial" w:cs="Arial" w:eastAsia="Arial" w:hAnsi="Arial"/>
                <w:b/>
                <w:bCs/>
                <w:i w:val="false"/>
                <w:iCs w:val="false"/>
                <w:color w:val="2E3A4A"/>
                <w:sz w:val="26"/>
                <w:szCs w:val="26"/>
              </w:rPr>
              <w:t xml:space="preserve">H4 Listening:</w:t>
            </w:r>
          </w:p>
          <w:p>
            <w:pPr>
              <w:spacing w:after="80" w:before="80"/>
            </w:pPr>
            <w:r>
              <w:rPr>
                <w:rFonts w:ascii="Arial" w:cs="Arial" w:eastAsia="Arial" w:hAnsi="Arial"/>
                <w:b w:val="false"/>
                <w:bCs w:val="false"/>
                <w:i w:val="false"/>
                <w:iCs w:val="false"/>
                <w:color w:val="1B1E2D"/>
                <w:sz w:val="28"/>
                <w:szCs w:val="28"/>
              </w:rPr>
              <w:t xml:space="preserve">Task 1: b  Task 2: 1. stepdad ultimatum (him or Jamie)  2. sixth form, A levels in June, absent for a week  3. told to come back at 18 (unlawful advice)  4. 'You haven't done anything wrong.'  Task 3: 1. 'It should have been triggered already' (criticism -- obligation not fulfilled)  2. 'They should never have said that' (criticism -- wrong action taken)</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2026-04-12T18:13:55.904Z</dcterms:created>
  <dcterms:modified xsi:type="dcterms:W3CDTF">2026-04-12T18:13:55.904Z</dcterms:modified>
</cp:coreProperties>
</file>

<file path=docProps/custom.xml><?xml version="1.0" encoding="utf-8"?>
<Properties xmlns="http://schemas.openxmlformats.org/officeDocument/2006/custom-properties" xmlns:vt="http://schemas.openxmlformats.org/officeDocument/2006/docPropsVTypes"/>
</file>