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080F05" w:val="clear"/>
            <w:tcMar>
              <w:top w:type="dxa" w:w="240"/>
              <w:left w:type="dxa" w:w="400"/>
              <w:bottom w:type="dxa" w:w="200"/>
              <w:right w:type="dxa" w:w="200"/>
            </w:tcMar>
            <w:vAlign w:val="top"/>
          </w:tcPr>
          <w:p>
            <w:pPr>
              <w:spacing w:after="60" w:before="0"/>
            </w:pPr>
            <w:r>
              <w:rPr>
                <w:rFonts w:ascii="Courier New" w:cs="Courier New" w:eastAsia="Courier New" w:hAnsi="Courier New"/>
                <w:b w:val="false"/>
                <w:bCs w:val="false"/>
                <w:color w:val="AAAAAA"/>
                <w:sz w:val="16"/>
                <w:szCs w:val="16"/>
              </w:rPr>
              <w:t xml:space="preserve">SEL · Self-Management · B2–C1</w:t>
            </w:r>
          </w:p>
          <w:p>
            <w:pPr>
              <w:spacing w:after="0" w:before="0"/>
            </w:pPr>
            <w:r>
              <w:rPr>
                <w:rFonts w:ascii="Georgia" w:cs="Georgia" w:eastAsia="Georgia" w:hAnsi="Georgia"/>
                <w:b/>
                <w:bCs/>
                <w:color w:val="FFFFFF"/>
                <w:sz w:val="36"/>
                <w:szCs w:val="36"/>
              </w:rPr>
              <w:t xml:space="preserve">Teacher's Lesson Plan</w:t>
            </w:r>
          </w:p>
        </w:tc>
        <w:tc>
          <w:tcPr>
            <w:tcW w:type="dxa" w:w="3426"/>
            <w:tcBorders>
              <w:top w:val="none" w:color="FFFFFF" w:sz="0"/>
              <w:left w:val="none" w:color="FFFFFF" w:sz="0"/>
              <w:bottom w:val="none" w:color="FFFFFF" w:sz="0"/>
              <w:right w:val="none" w:color="FFFFFF" w:sz="0"/>
            </w:tcBorders>
            <w:shd w:fill="080F05" w:val="clear"/>
            <w:tcMar>
              <w:top w:type="dxa" w:w="240"/>
              <w:left w:type="dxa" w:w="200"/>
              <w:bottom w:type="dxa" w:w="200"/>
              <w:right w:type="dxa" w:w="300"/>
            </w:tcMar>
            <w:vAlign w:val="top"/>
          </w:tcPr>
          <w:p>
            <w:pPr>
              <w:spacing w:after="60" w:before="0"/>
              <w:jc w:val="right"/>
            </w:pPr>
            <w:r>
              <w:rPr>
                <w:rFonts w:ascii="Courier New" w:cs="Courier New" w:eastAsia="Courier New" w:hAnsi="Courier New"/>
                <w:b w:val="false"/>
                <w:bCs w:val="false"/>
                <w:color w:val="AAAAAA"/>
                <w:sz w:val="16"/>
                <w:szCs w:val="16"/>
              </w:rPr>
              <w:t xml:space="preserve">Confidential</w:t>
            </w:r>
          </w:p>
          <w:p>
            <w:pPr>
              <w:spacing w:after="0" w:before="40"/>
              <w:jc w:val="right"/>
            </w:pPr>
            <w:r>
              <w:rPr>
                <w:rFonts w:ascii="Courier New" w:cs="Courier New" w:eastAsia="Courier New" w:hAnsi="Courier New"/>
                <w:b w:val="false"/>
                <w:bCs w:val="false"/>
                <w:color w:val="FFFFFF"/>
                <w:sz w:val="16"/>
                <w:szCs w:val="16"/>
              </w:rPr>
              <w:t xml:space="preserve">Student Handouts →</w:t>
            </w:r>
          </w:p>
        </w:tc>
      </w:tr>
    </w:tbl>
    <w:p>
      <w:pPr>
        <w:spacing w:after="200" w:before="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5A3A" w:sz="4"/>
              <w:left w:val="single" w:color="1A5A3A" w:sz="4"/>
              <w:bottom w:val="single" w:color="1A5A3A" w:sz="4"/>
              <w:right w:val="single" w:color="1A5A3A" w:sz="4"/>
            </w:tcBorders>
            <w:shd w:fill="E8F5EC" w:val="clear"/>
            <w:tcMar>
              <w:top w:type="dxa" w:w="140"/>
              <w:left w:type="dxa" w:w="200"/>
              <w:bottom w:type="dxa" w:w="140"/>
              <w:right w:type="dxa" w:w="200"/>
            </w:tcMar>
            <w:vAlign w:val="top"/>
          </w:tcPr>
          <w:p>
            <w:pPr>
              <w:spacing w:after="80" w:before="0"/>
            </w:pPr>
            <w:r>
              <w:rPr>
                <w:rFonts w:ascii="Courier New" w:cs="Courier New" w:eastAsia="Courier New" w:hAnsi="Courier New"/>
                <w:b/>
                <w:bCs/>
                <w:color w:val="1A5A3A"/>
                <w:sz w:val="17"/>
                <w:szCs w:val="17"/>
              </w:rPr>
              <w:t xml:space="preserve">SEL CONNECTION</w:t>
            </w:r>
          </w:p>
          <w:p>
            <w:pPr>
              <w:spacing w:after="120" w:before="0"/>
            </w:pPr>
            <w:r>
              <w:rPr>
                <w:rFonts w:ascii="Arial" w:cs="Arial" w:eastAsia="Arial" w:hAnsi="Arial"/>
                <w:b/>
                <w:bCs/>
                <w:color w:val="1B1E2D"/>
                <w:sz w:val="22"/>
                <w:szCs w:val="22"/>
              </w:rPr>
              <w:t xml:space="preserve">Competencies: </w:t>
            </w:r>
            <w:r>
              <w:rPr>
                <w:rFonts w:ascii="Arial" w:cs="Arial" w:eastAsia="Arial" w:hAnsi="Arial"/>
                <w:b w:val="false"/>
                <w:bCs w:val="false"/>
                <w:color w:val="1B1E2D"/>
                <w:sz w:val="22"/>
                <w:szCs w:val="22"/>
              </w:rPr>
              <w:t xml:space="preserve">Self-Management · Responsible Decision-Making</w:t>
            </w:r>
          </w:p>
          <w:p>
            <w:pPr>
              <w:spacing w:after="60" w:before="0"/>
            </w:pPr>
            <w:r>
              <w:t xml:space="preserve"/>
            </w:r>
          </w:p>
          <w:p>
            <w:pPr>
              <w:spacing w:after="120" w:before="0"/>
            </w:pPr>
            <w:r>
              <w:rPr>
                <w:rFonts w:ascii="Arial" w:cs="Arial" w:eastAsia="Arial" w:hAnsi="Arial"/>
                <w:b w:val="false"/>
                <w:bCs w:val="false"/>
                <w:color w:val="1B1E2D"/>
                <w:sz w:val="22"/>
                <w:szCs w:val="22"/>
              </w:rPr>
              <w:t xml:space="preserve">At B2–C1, this lesson examines the cognitive science behind multitasking — why the brain cannot truly process two demanding tasks simultaneously, what switch cost means, and why the widespread belief in productive multitasking persists despite the evidence against it. Students develop both the analytical vocabulary to discuss this precisely and the self-awareness to examine their own work habits.</w:t>
            </w:r>
          </w:p>
        </w:tc>
      </w:tr>
    </w:tbl>
    <w:p>
      <w:pPr>
        <w:spacing w:after="120" w:before="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E8F0E3" w:val="clear"/>
            <w:tcMar>
              <w:top w:type="dxa" w:w="140"/>
              <w:left w:type="dxa" w:w="200"/>
              <w:bottom w:type="dxa" w:w="140"/>
              <w:right w:type="dxa" w:w="200"/>
            </w:tcMar>
            <w:vAlign w:val="top"/>
          </w:tcPr>
          <w:p>
            <w:pPr>
              <w:spacing w:after="80" w:before="0"/>
            </w:pPr>
            <w:r>
              <w:rPr>
                <w:rFonts w:ascii="Courier New" w:cs="Courier New" w:eastAsia="Courier New" w:hAnsi="Courier New"/>
                <w:b/>
                <w:bCs/>
                <w:color w:val="2A4A1A"/>
                <w:sz w:val="17"/>
                <w:szCs w:val="17"/>
              </w:rPr>
              <w:t xml:space="preserve">CULTURAL CONNECTIONS (Teacher Only)</w:t>
            </w:r>
          </w:p>
          <w:p>
            <w:pPr>
              <w:spacing w:after="120" w:before="0"/>
            </w:pPr>
            <w:r>
              <w:rPr>
                <w:rFonts w:ascii="Arial" w:cs="Arial" w:eastAsia="Arial" w:hAnsi="Arial"/>
                <w:b w:val="false"/>
                <w:bCs w:val="false"/>
                <w:color w:val="1B1E2D"/>
                <w:sz w:val="22"/>
                <w:szCs w:val="22"/>
              </w:rPr>
              <w:t xml:space="preserve">Multitasking is celebrated in modern work culture as a sign of capability. Job advertisements frequently list it as a desirable skill. This makes the research findings all the more interesting: the people who believe they are best at multitasking are, in controlled studies, often the worst at it — because they are most prone to distraction and least able to filter irrelevant information. The lesson does not argue that single-tasking is always superior in every domain; it argues that students should understand the actual cognitive cost before deciding when to multitask.</w:t>
            </w:r>
          </w:p>
        </w:tc>
      </w:tr>
    </w:tbl>
    <w:p>
      <w:pPr>
        <w:spacing w:after="120" w:before="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6826"/>
      </w:tblGrid>
      <w:tr>
        <w:tc>
          <w:tcPr>
            <w:tcW w:type="dxa" w:w="2200"/>
            <w:tcBorders>
              <w:top w:val="none" w:color="FFFFFF" w:sz="0"/>
              <w:left w:val="none" w:color="FFFFFF" w:sz="0"/>
              <w:bottom w:val="none" w:color="FFFFFF" w:sz="0"/>
              <w:right w:val="none" w:color="FFFFFF" w:sz="0"/>
            </w:tcBorders>
            <w:shd w:fill="F0F4ED" w:val="clear"/>
            <w:tcMar>
              <w:top w:type="dxa" w:w="100"/>
              <w:left w:type="dxa" w:w="120"/>
              <w:bottom w:type="dxa" w:w="100"/>
              <w:right w:type="dxa" w:w="120"/>
            </w:tcMar>
            <w:vAlign w:val="top"/>
          </w:tcPr>
          <w:p>
            <w:r>
              <w:rPr>
                <w:rFonts w:ascii="Arial" w:cs="Arial" w:eastAsia="Arial" w:hAnsi="Arial"/>
                <w:b/>
                <w:bCs/>
                <w:color w:val="080F05"/>
                <w:sz w:val="18"/>
                <w:szCs w:val="18"/>
              </w:rPr>
              <w:t xml:space="preserve">Topic</w:t>
            </w:r>
          </w:p>
        </w:tc>
        <w:tc>
          <w:tcPr>
            <w:tcW w:type="dxa" w:w="6826"/>
            <w:tcBorders>
              <w:top w:val="single" w:color="D2DCE8" w:sz="4"/>
              <w:left w:val="single" w:color="D2DCE8" w:sz="4"/>
              <w:bottom w:val="single" w:color="D2DCE8" w:sz="4"/>
              <w:right w:val="single" w:color="D2DCE8" w:sz="4"/>
            </w:tcBorders>
            <w:shd w:fill="FFFFFF" w:val="clear"/>
            <w:tcMar>
              <w:top w:type="dxa" w:w="100"/>
              <w:left w:type="dxa" w:w="120"/>
              <w:bottom w:type="dxa" w:w="100"/>
              <w:right w:type="dxa" w:w="120"/>
            </w:tcMar>
          </w:tcPr>
          <w:p>
            <w:pPr>
              <w:spacing w:after="60" w:before="0"/>
            </w:pPr>
            <w:r>
              <w:rPr>
                <w:rFonts w:ascii="Arial" w:cs="Arial" w:eastAsia="Arial" w:hAnsi="Arial"/>
                <w:b w:val="false"/>
                <w:bCs w:val="false"/>
                <w:color w:val="1B1E2D"/>
                <w:sz w:val="22"/>
                <w:szCs w:val="22"/>
              </w:rPr>
              <w:t xml:space="preserve">Multitasking. The reading examines the cognitive science of task-switching and why true simultaneous processing of demanding tasks is not possible. The listening follows Ben, who is convinced he multitasks effectively — Emma examines his actual output with him.</w:t>
            </w:r>
          </w:p>
        </w:tc>
      </w:tr>
      <w:tr>
        <w:tc>
          <w:tcPr>
            <w:tcW w:type="dxa" w:w="2200"/>
            <w:tcBorders>
              <w:top w:val="none" w:color="FFFFFF" w:sz="0"/>
              <w:left w:val="none" w:color="FFFFFF" w:sz="0"/>
              <w:bottom w:val="none" w:color="FFFFFF" w:sz="0"/>
              <w:right w:val="none" w:color="FFFFFF" w:sz="0"/>
            </w:tcBorders>
            <w:shd w:fill="F0F4ED" w:val="clear"/>
            <w:tcMar>
              <w:top w:type="dxa" w:w="100"/>
              <w:left w:type="dxa" w:w="120"/>
              <w:bottom w:type="dxa" w:w="100"/>
              <w:right w:type="dxa" w:w="120"/>
            </w:tcMar>
            <w:vAlign w:val="top"/>
          </w:tcPr>
          <w:p>
            <w:r>
              <w:rPr>
                <w:rFonts w:ascii="Arial" w:cs="Arial" w:eastAsia="Arial" w:hAnsi="Arial"/>
                <w:b/>
                <w:bCs/>
                <w:color w:val="080F05"/>
                <w:sz w:val="18"/>
                <w:szCs w:val="18"/>
              </w:rPr>
              <w:t xml:space="preserve">Level</w:t>
            </w:r>
          </w:p>
        </w:tc>
        <w:tc>
          <w:tcPr>
            <w:tcW w:type="dxa" w:w="6826"/>
            <w:tcBorders>
              <w:top w:val="single" w:color="D2DCE8" w:sz="4"/>
              <w:left w:val="single" w:color="D2DCE8" w:sz="4"/>
              <w:bottom w:val="single" w:color="D2DCE8" w:sz="4"/>
              <w:right w:val="single" w:color="D2DCE8" w:sz="4"/>
            </w:tcBorders>
            <w:shd w:fill="FFFFFF" w:val="clear"/>
            <w:tcMar>
              <w:top w:type="dxa" w:w="100"/>
              <w:left w:type="dxa" w:w="120"/>
              <w:bottom w:type="dxa" w:w="100"/>
              <w:right w:type="dxa" w:w="120"/>
            </w:tcMar>
          </w:tcPr>
          <w:p>
            <w:pPr>
              <w:spacing w:after="60" w:before="0"/>
            </w:pPr>
            <w:r>
              <w:rPr>
                <w:rFonts w:ascii="Arial" w:cs="Arial" w:eastAsia="Arial" w:hAnsi="Arial"/>
                <w:b w:val="false"/>
                <w:bCs w:val="false"/>
                <w:color w:val="1B1E2D"/>
                <w:sz w:val="22"/>
                <w:szCs w:val="22"/>
              </w:rPr>
              <w:t xml:space="preserve">B2–C1 · No grammar restrictions</w:t>
            </w:r>
          </w:p>
        </w:tc>
      </w:tr>
      <w:tr>
        <w:tc>
          <w:tcPr>
            <w:tcW w:type="dxa" w:w="2200"/>
            <w:tcBorders>
              <w:top w:val="none" w:color="FFFFFF" w:sz="0"/>
              <w:left w:val="none" w:color="FFFFFF" w:sz="0"/>
              <w:bottom w:val="none" w:color="FFFFFF" w:sz="0"/>
              <w:right w:val="none" w:color="FFFFFF" w:sz="0"/>
            </w:tcBorders>
            <w:shd w:fill="F0F4ED" w:val="clear"/>
            <w:tcMar>
              <w:top w:type="dxa" w:w="100"/>
              <w:left w:type="dxa" w:w="120"/>
              <w:bottom w:type="dxa" w:w="100"/>
              <w:right w:type="dxa" w:w="120"/>
            </w:tcMar>
            <w:vAlign w:val="top"/>
          </w:tcPr>
          <w:p>
            <w:r>
              <w:rPr>
                <w:rFonts w:ascii="Arial" w:cs="Arial" w:eastAsia="Arial" w:hAnsi="Arial"/>
                <w:b/>
                <w:bCs/>
                <w:color w:val="080F05"/>
                <w:sz w:val="18"/>
                <w:szCs w:val="18"/>
              </w:rPr>
              <w:t xml:space="preserve">Duration</w:t>
            </w:r>
          </w:p>
        </w:tc>
        <w:tc>
          <w:tcPr>
            <w:tcW w:type="dxa" w:w="6826"/>
            <w:tcBorders>
              <w:top w:val="single" w:color="D2DCE8" w:sz="4"/>
              <w:left w:val="single" w:color="D2DCE8" w:sz="4"/>
              <w:bottom w:val="single" w:color="D2DCE8" w:sz="4"/>
              <w:right w:val="single" w:color="D2DCE8" w:sz="4"/>
            </w:tcBorders>
            <w:shd w:fill="FFFFFF" w:val="clear"/>
            <w:tcMar>
              <w:top w:type="dxa" w:w="100"/>
              <w:left w:type="dxa" w:w="120"/>
              <w:bottom w:type="dxa" w:w="100"/>
              <w:right w:type="dxa" w:w="120"/>
            </w:tcMar>
          </w:tcPr>
          <w:p>
            <w:pPr>
              <w:spacing w:after="60" w:before="0"/>
            </w:pPr>
            <w:r>
              <w:rPr>
                <w:rFonts w:ascii="Arial" w:cs="Arial" w:eastAsia="Arial" w:hAnsi="Arial"/>
                <w:b w:val="false"/>
                <w:bCs w:val="false"/>
                <w:color w:val="1B1E2D"/>
                <w:sz w:val="22"/>
                <w:szCs w:val="22"/>
              </w:rPr>
              <w:t xml:space="preserve">90 minutes</w:t>
            </w:r>
          </w:p>
        </w:tc>
      </w:tr>
      <w:tr>
        <w:tc>
          <w:tcPr>
            <w:tcW w:type="dxa" w:w="2200"/>
            <w:tcBorders>
              <w:top w:val="none" w:color="FFFFFF" w:sz="0"/>
              <w:left w:val="none" w:color="FFFFFF" w:sz="0"/>
              <w:bottom w:val="none" w:color="FFFFFF" w:sz="0"/>
              <w:right w:val="none" w:color="FFFFFF" w:sz="0"/>
            </w:tcBorders>
            <w:shd w:fill="F0F4ED" w:val="clear"/>
            <w:tcMar>
              <w:top w:type="dxa" w:w="100"/>
              <w:left w:type="dxa" w:w="120"/>
              <w:bottom w:type="dxa" w:w="100"/>
              <w:right w:type="dxa" w:w="120"/>
            </w:tcMar>
            <w:vAlign w:val="top"/>
          </w:tcPr>
          <w:p>
            <w:r>
              <w:rPr>
                <w:rFonts w:ascii="Arial" w:cs="Arial" w:eastAsia="Arial" w:hAnsi="Arial"/>
                <w:b/>
                <w:bCs/>
                <w:color w:val="080F05"/>
                <w:sz w:val="18"/>
                <w:szCs w:val="18"/>
              </w:rPr>
              <w:t xml:space="preserve">Grammar</w:t>
            </w:r>
          </w:p>
        </w:tc>
        <w:tc>
          <w:tcPr>
            <w:tcW w:type="dxa" w:w="6826"/>
            <w:tcBorders>
              <w:top w:val="single" w:color="D2DCE8" w:sz="4"/>
              <w:left w:val="single" w:color="D2DCE8" w:sz="4"/>
              <w:bottom w:val="single" w:color="D2DCE8" w:sz="4"/>
              <w:right w:val="single" w:color="D2DCE8" w:sz="4"/>
            </w:tcBorders>
            <w:shd w:fill="FFFFFF" w:val="clear"/>
            <w:tcMar>
              <w:top w:type="dxa" w:w="100"/>
              <w:left w:type="dxa" w:w="120"/>
              <w:bottom w:type="dxa" w:w="100"/>
              <w:right w:type="dxa" w:w="120"/>
            </w:tcMar>
          </w:tcPr>
          <w:p>
            <w:pPr>
              <w:spacing w:after="60" w:before="0"/>
            </w:pPr>
            <w:r>
              <w:rPr>
                <w:rFonts w:ascii="Arial" w:cs="Arial" w:eastAsia="Arial" w:hAnsi="Arial"/>
                <w:b w:val="false"/>
                <w:bCs w:val="false"/>
                <w:color w:val="1B1E2D"/>
                <w:sz w:val="22"/>
                <w:szCs w:val="22"/>
              </w:rPr>
              <w:t xml:space="preserve">Focus: Mixed Conditionals — both types + C1 inversion</w:t>
            </w:r>
          </w:p>
          <w:p>
            <w:pPr>
              <w:spacing w:after="60" w:before="0"/>
            </w:pPr>
            <w:r>
              <w:rPr>
                <w:rFonts w:ascii="Arial" w:cs="Arial" w:eastAsia="Arial" w:hAnsi="Arial"/>
                <w:b w:val="false"/>
                <w:bCs w:val="false"/>
                <w:color w:val="1B1E2D"/>
                <w:sz w:val="22"/>
                <w:szCs w:val="22"/>
              </w:rPr>
              <w:t xml:space="preserve">Type A (past unreal → present result) · Type B (present condition → past result)</w:t>
            </w:r>
          </w:p>
          <w:p>
            <w:pPr>
              <w:spacing w:after="60" w:before="0"/>
            </w:pPr>
            <w:r>
              <w:rPr>
                <w:rFonts w:ascii="Arial" w:cs="Arial" w:eastAsia="Arial" w:hAnsi="Arial"/>
                <w:b w:val="false"/>
                <w:bCs w:val="false"/>
                <w:color w:val="1B1E2D"/>
                <w:sz w:val="22"/>
                <w:szCs w:val="22"/>
              </w:rPr>
              <w:t xml:space="preserve">C1 inversion: Had he worked sequentially… / Were he less susceptible to distraction…</w:t>
            </w:r>
          </w:p>
        </w:tc>
      </w:tr>
      <w:tr>
        <w:tc>
          <w:tcPr>
            <w:tcW w:type="dxa" w:w="2200"/>
            <w:tcBorders>
              <w:top w:val="none" w:color="FFFFFF" w:sz="0"/>
              <w:left w:val="none" w:color="FFFFFF" w:sz="0"/>
              <w:bottom w:val="none" w:color="FFFFFF" w:sz="0"/>
              <w:right w:val="none" w:color="FFFFFF" w:sz="0"/>
            </w:tcBorders>
            <w:shd w:fill="F0F4ED" w:val="clear"/>
            <w:tcMar>
              <w:top w:type="dxa" w:w="100"/>
              <w:left w:type="dxa" w:w="120"/>
              <w:bottom w:type="dxa" w:w="100"/>
              <w:right w:type="dxa" w:w="120"/>
            </w:tcMar>
            <w:vAlign w:val="top"/>
          </w:tcPr>
          <w:p>
            <w:r>
              <w:rPr>
                <w:rFonts w:ascii="Arial" w:cs="Arial" w:eastAsia="Arial" w:hAnsi="Arial"/>
                <w:b/>
                <w:bCs/>
                <w:color w:val="080F05"/>
                <w:sz w:val="18"/>
                <w:szCs w:val="18"/>
              </w:rPr>
              <w:t xml:space="preserve">Vocabulary</w:t>
            </w:r>
          </w:p>
        </w:tc>
        <w:tc>
          <w:tcPr>
            <w:tcW w:type="dxa" w:w="6826"/>
            <w:tcBorders>
              <w:top w:val="single" w:color="D2DCE8" w:sz="4"/>
              <w:left w:val="single" w:color="D2DCE8" w:sz="4"/>
              <w:bottom w:val="single" w:color="D2DCE8" w:sz="4"/>
              <w:right w:val="single" w:color="D2DCE8" w:sz="4"/>
            </w:tcBorders>
            <w:shd w:fill="FFFFFF" w:val="clear"/>
            <w:tcMar>
              <w:top w:type="dxa" w:w="100"/>
              <w:left w:type="dxa" w:w="120"/>
              <w:bottom w:type="dxa" w:w="100"/>
              <w:right w:type="dxa" w:w="120"/>
            </w:tcMar>
          </w:tcPr>
          <w:p>
            <w:pPr>
              <w:spacing w:after="60" w:before="0"/>
            </w:pPr>
            <w:r>
              <w:rPr>
                <w:rFonts w:ascii="Arial" w:cs="Arial" w:eastAsia="Arial" w:hAnsi="Arial"/>
                <w:b w:val="false"/>
                <w:bCs w:val="false"/>
                <w:color w:val="1B1E2D"/>
                <w:sz w:val="22"/>
                <w:szCs w:val="22"/>
              </w:rPr>
              <w:t xml:space="preserve">10 words (B2–C1): cognitive · simultaneous · efficiency · switch cost · deplete · output · illusion · sequential · prioritise · capacity</w:t>
            </w:r>
          </w:p>
        </w:tc>
      </w:tr>
      <w:tr>
        <w:tc>
          <w:tcPr>
            <w:tcW w:type="dxa" w:w="2200"/>
            <w:tcBorders>
              <w:top w:val="none" w:color="FFFFFF" w:sz="0"/>
              <w:left w:val="none" w:color="FFFFFF" w:sz="0"/>
              <w:bottom w:val="none" w:color="FFFFFF" w:sz="0"/>
              <w:right w:val="none" w:color="FFFFFF" w:sz="0"/>
            </w:tcBorders>
            <w:shd w:fill="F0F4ED" w:val="clear"/>
            <w:tcMar>
              <w:top w:type="dxa" w:w="100"/>
              <w:left w:type="dxa" w:w="120"/>
              <w:bottom w:type="dxa" w:w="100"/>
              <w:right w:type="dxa" w:w="120"/>
            </w:tcMar>
            <w:vAlign w:val="top"/>
          </w:tcPr>
          <w:p>
            <w:r>
              <w:rPr>
                <w:rFonts w:ascii="Arial" w:cs="Arial" w:eastAsia="Arial" w:hAnsi="Arial"/>
                <w:b/>
                <w:bCs/>
                <w:color w:val="080F05"/>
                <w:sz w:val="18"/>
                <w:szCs w:val="18"/>
              </w:rPr>
              <w:t xml:space="preserve">Characters</w:t>
            </w:r>
          </w:p>
        </w:tc>
        <w:tc>
          <w:tcPr>
            <w:tcW w:type="dxa" w:w="6826"/>
            <w:tcBorders>
              <w:top w:val="single" w:color="D2DCE8" w:sz="4"/>
              <w:left w:val="single" w:color="D2DCE8" w:sz="4"/>
              <w:bottom w:val="single" w:color="D2DCE8" w:sz="4"/>
              <w:right w:val="single" w:color="D2DCE8" w:sz="4"/>
            </w:tcBorders>
            <w:shd w:fill="FFFFFF" w:val="clear"/>
            <w:tcMar>
              <w:top w:type="dxa" w:w="100"/>
              <w:left w:type="dxa" w:w="120"/>
              <w:bottom w:type="dxa" w:w="100"/>
              <w:right w:type="dxa" w:w="120"/>
            </w:tcMar>
          </w:tcPr>
          <w:p>
            <w:pPr>
              <w:spacing w:after="60" w:before="0"/>
            </w:pPr>
            <w:r>
              <w:rPr>
                <w:rFonts w:ascii="Arial" w:cs="Arial" w:eastAsia="Arial" w:hAnsi="Arial"/>
                <w:b w:val="false"/>
                <w:bCs w:val="false"/>
                <w:color w:val="1B1E2D"/>
                <w:sz w:val="22"/>
                <w:szCs w:val="22"/>
              </w:rPr>
              <w:t xml:space="preserve">Reading: analytical essay (no named characters) · Listening: Ben and Emma (age 18) — university work scenario</w:t>
            </w:r>
          </w:p>
        </w:tc>
      </w:tr>
    </w:tbl>
    <w:p>
      <w:pPr>
        <w:pBdr>
          <w:bottom w:val="single" w:color="2A4A1A" w:sz="12"/>
        </w:pBdr>
        <w:spacing w:after="100" w:before="260"/>
      </w:pPr>
      <w:r>
        <w:rPr>
          <w:rFonts w:ascii="Georgia" w:cs="Georgia" w:eastAsia="Georgia" w:hAnsi="Georgia"/>
          <w:b/>
          <w:bCs/>
          <w:color w:val="2A4A1A"/>
          <w:sz w:val="28"/>
          <w:szCs w:val="28"/>
        </w:rPr>
        <w:t xml:space="preserve">Teaching Notes</w:t>
      </w:r>
    </w:p>
    <w:p>
      <w:pPr>
        <w:spacing w:after="120" w:before="0"/>
      </w:pPr>
      <w:r>
        <w:rPr>
          <w:rFonts w:ascii="Arial" w:cs="Arial" w:eastAsia="Arial" w:hAnsi="Arial"/>
          <w:b/>
          <w:bCs/>
          <w:color w:val="1B1E2D"/>
          <w:sz w:val="22"/>
          <w:szCs w:val="22"/>
        </w:rPr>
        <w:t xml:space="preserve">Reading vs Listening — no repetition: </w:t>
      </w:r>
      <w:r>
        <w:rPr>
          <w:rFonts w:ascii="Arial" w:cs="Arial" w:eastAsia="Arial" w:hAnsi="Arial"/>
          <w:b w:val="false"/>
          <w:bCs w:val="false"/>
          <w:color w:val="1B1E2D"/>
          <w:sz w:val="22"/>
          <w:szCs w:val="22"/>
        </w:rPr>
        <w:t xml:space="preserve">The reading ("The Multitasking Illusion") is an analytical essay on the cognitive science of task-switching — executive control system, switch cost, cognitive depletion, why the subjective sense of multitasking is an illusion. The listening follows Ben, who claims to be a good multitasker. Emma examines his actual output for the week. Completely different angle from the reading.</w:t>
      </w:r>
    </w:p>
    <w:p>
      <w:pPr>
        <w:spacing w:after="120" w:before="0"/>
      </w:pPr>
      <w:r>
        <w:rPr>
          <w:rFonts w:ascii="Arial" w:cs="Arial" w:eastAsia="Arial" w:hAnsi="Arial"/>
          <w:b/>
          <w:bCs/>
          <w:color w:val="1B1E2D"/>
          <w:sz w:val="22"/>
          <w:szCs w:val="22"/>
        </w:rPr>
        <w:t xml:space="preserve">Key concept — switch cost: </w:t>
      </w:r>
      <w:r>
        <w:rPr>
          <w:rFonts w:ascii="Arial" w:cs="Arial" w:eastAsia="Arial" w:hAnsi="Arial"/>
          <w:b w:val="false"/>
          <w:bCs w:val="false"/>
          <w:color w:val="1B1E2D"/>
          <w:sz w:val="22"/>
          <w:szCs w:val="22"/>
        </w:rPr>
        <w:t xml:space="preserve">This is the central term. Every time the brain switches between tasks, there is a cost in time and accuracy — around 15–20 seconds to fully re-engage with the interrupted task. Students who understand this can make more informed decisions about when task-switching is acceptable.</w:t>
      </w:r>
    </w:p>
    <w:p>
      <w:pPr>
        <w:spacing w:after="120" w:before="0"/>
      </w:pPr>
      <w:r>
        <w:rPr>
          <w:rFonts w:ascii="Arial" w:cs="Arial" w:eastAsia="Arial" w:hAnsi="Arial"/>
          <w:b/>
          <w:bCs/>
          <w:color w:val="1B1E2D"/>
          <w:sz w:val="22"/>
          <w:szCs w:val="22"/>
        </w:rPr>
        <w:t xml:space="preserve">Grammar note: </w:t>
      </w:r>
      <w:r>
        <w:rPr>
          <w:rFonts w:ascii="Arial" w:cs="Arial" w:eastAsia="Arial" w:hAnsi="Arial"/>
          <w:b w:val="false"/>
          <w:bCs w:val="false"/>
          <w:color w:val="1B1E2D"/>
          <w:sz w:val="22"/>
          <w:szCs w:val="22"/>
        </w:rPr>
        <w:t xml:space="preserve">The topic connects naturally to mixed conditionals — retrospective analysis of work habits. Ben uses a Type A inversion in the listening when he accepts Emma's argument. The reading contains a Type B conditional. Draw students' attention to both.</w:t>
      </w:r>
    </w:p>
    <w:p>
      <w:pPr>
        <w:pBdr>
          <w:bottom w:val="single" w:color="2A4A1A" w:sz="12"/>
        </w:pBdr>
        <w:spacing w:after="100" w:before="260"/>
      </w:pPr>
      <w:r>
        <w:rPr>
          <w:rFonts w:ascii="Georgia" w:cs="Georgia" w:eastAsia="Georgia" w:hAnsi="Georgia"/>
          <w:b/>
          <w:bCs/>
          <w:color w:val="2A4A1A"/>
          <w:sz w:val="28"/>
          <w:szCs w:val="28"/>
        </w:rPr>
        <w:t xml:space="preserve">Lesson Procedure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0"/>
        <w:gridCol w:w="880"/>
        <w:gridCol w:w="720"/>
        <w:gridCol w:w="3373"/>
        <w:gridCol w:w="1373"/>
      </w:tblGrid>
      <w:tr>
        <w:tc>
          <w:tcPr>
            <w:tcW w:type="dxa" w:w="680"/>
            <w:tcBorders>
              <w:top w:val="single" w:color="2A4A1A" w:sz="4"/>
              <w:left w:val="single" w:color="2A4A1A" w:sz="4"/>
              <w:bottom w:val="single" w:color="2A4A1A" w:sz="4"/>
              <w:right w:val="single" w:color="2A4A1A" w:sz="4"/>
            </w:tcBorders>
            <w:shd w:fill="2A4A1A" w:val="clear"/>
            <w:tcMar>
              <w:top w:type="dxa" w:w="80"/>
              <w:left w:type="dxa" w:w="100"/>
              <w:bottom w:type="dxa" w:w="80"/>
              <w:right w:type="dxa" w:w="100"/>
            </w:tcMar>
          </w:tcPr>
          <w:p>
            <w:r>
              <w:rPr>
                <w:rFonts w:ascii="Courier New" w:cs="Courier New" w:eastAsia="Courier New" w:hAnsi="Courier New"/>
                <w:b/>
                <w:bCs/>
                <w:color w:val="FFFFFF"/>
                <w:sz w:val="17"/>
                <w:szCs w:val="17"/>
              </w:rPr>
              <w:t xml:space="preserve">Time</w:t>
            </w:r>
          </w:p>
        </w:tc>
        <w:tc>
          <w:tcPr>
            <w:tcW w:type="dxa" w:w="880"/>
            <w:tcBorders>
              <w:top w:val="single" w:color="2A4A1A" w:sz="4"/>
              <w:left w:val="single" w:color="2A4A1A" w:sz="4"/>
              <w:bottom w:val="single" w:color="2A4A1A" w:sz="4"/>
              <w:right w:val="single" w:color="2A4A1A" w:sz="4"/>
            </w:tcBorders>
            <w:shd w:fill="2A4A1A" w:val="clear"/>
            <w:tcMar>
              <w:top w:type="dxa" w:w="80"/>
              <w:left w:type="dxa" w:w="100"/>
              <w:bottom w:type="dxa" w:w="80"/>
              <w:right w:type="dxa" w:w="100"/>
            </w:tcMar>
          </w:tcPr>
          <w:p>
            <w:r>
              <w:rPr>
                <w:rFonts w:ascii="Courier New" w:cs="Courier New" w:eastAsia="Courier New" w:hAnsi="Courier New"/>
                <w:b/>
                <w:bCs/>
                <w:color w:val="FFFFFF"/>
                <w:sz w:val="17"/>
                <w:szCs w:val="17"/>
              </w:rPr>
              <w:t xml:space="preserve">Stage</w:t>
            </w:r>
          </w:p>
        </w:tc>
        <w:tc>
          <w:tcPr>
            <w:tcW w:type="dxa" w:w="720"/>
            <w:tcBorders>
              <w:top w:val="single" w:color="2A4A1A" w:sz="4"/>
              <w:left w:val="single" w:color="2A4A1A" w:sz="4"/>
              <w:bottom w:val="single" w:color="2A4A1A" w:sz="4"/>
              <w:right w:val="single" w:color="2A4A1A" w:sz="4"/>
            </w:tcBorders>
            <w:shd w:fill="2A4A1A" w:val="clear"/>
            <w:tcMar>
              <w:top w:type="dxa" w:w="80"/>
              <w:left w:type="dxa" w:w="100"/>
              <w:bottom w:type="dxa" w:w="80"/>
              <w:right w:type="dxa" w:w="100"/>
            </w:tcMar>
          </w:tcPr>
          <w:p>
            <w:r>
              <w:rPr>
                <w:rFonts w:ascii="Courier New" w:cs="Courier New" w:eastAsia="Courier New" w:hAnsi="Courier New"/>
                <w:b/>
                <w:bCs/>
                <w:color w:val="FFFFFF"/>
                <w:sz w:val="17"/>
                <w:szCs w:val="17"/>
              </w:rPr>
              <w:t xml:space="preserve">Skill</w:t>
            </w:r>
          </w:p>
        </w:tc>
        <w:tc>
          <w:tcPr>
            <w:tcW w:type="dxa" w:w="3373"/>
            <w:tcBorders>
              <w:top w:val="single" w:color="2A4A1A" w:sz="4"/>
              <w:left w:val="single" w:color="2A4A1A" w:sz="4"/>
              <w:bottom w:val="single" w:color="2A4A1A" w:sz="4"/>
              <w:right w:val="single" w:color="2A4A1A" w:sz="4"/>
            </w:tcBorders>
            <w:shd w:fill="2A4A1A" w:val="clear"/>
            <w:tcMar>
              <w:top w:type="dxa" w:w="80"/>
              <w:left w:type="dxa" w:w="100"/>
              <w:bottom w:type="dxa" w:w="80"/>
              <w:right w:type="dxa" w:w="100"/>
            </w:tcMar>
          </w:tcPr>
          <w:p>
            <w:r>
              <w:rPr>
                <w:rFonts w:ascii="Courier New" w:cs="Courier New" w:eastAsia="Courier New" w:hAnsi="Courier New"/>
                <w:b/>
                <w:bCs/>
                <w:color w:val="FFFFFF"/>
                <w:sz w:val="17"/>
                <w:szCs w:val="17"/>
              </w:rPr>
              <w:t xml:space="preserve">Teacher does</w:t>
            </w:r>
          </w:p>
        </w:tc>
        <w:tc>
          <w:tcPr>
            <w:tcW w:type="dxa" w:w="1373"/>
            <w:tcBorders>
              <w:top w:val="single" w:color="2A4A1A" w:sz="4"/>
              <w:left w:val="single" w:color="2A4A1A" w:sz="4"/>
              <w:bottom w:val="single" w:color="2A4A1A" w:sz="4"/>
              <w:right w:val="single" w:color="2A4A1A" w:sz="4"/>
            </w:tcBorders>
            <w:shd w:fill="2A4A1A" w:val="clear"/>
            <w:tcMar>
              <w:top w:type="dxa" w:w="80"/>
              <w:left w:type="dxa" w:w="100"/>
              <w:bottom w:type="dxa" w:w="80"/>
              <w:right w:type="dxa" w:w="100"/>
            </w:tcMar>
          </w:tcPr>
          <w:p>
            <w:r>
              <w:rPr>
                <w:rFonts w:ascii="Courier New" w:cs="Courier New" w:eastAsia="Courier New" w:hAnsi="Courier New"/>
                <w:b/>
                <w:bCs/>
                <w:color w:val="FFFFFF"/>
                <w:sz w:val="17"/>
                <w:szCs w:val="17"/>
              </w:rPr>
              <w:t xml:space="preserve">Students do</w:t>
            </w:r>
          </w:p>
        </w:tc>
      </w:tr>
      <w:tr>
        <w:tc>
          <w:tcPr>
            <w:tcW w:type="dxa" w:w="680"/>
            <w:tcBorders>
              <w:top w:val="single" w:color="D2DCE8" w:sz="4"/>
              <w:left w:val="single" w:color="D2DCE8" w:sz="4"/>
              <w:bottom w:val="single" w:color="D2DCE8" w:sz="4"/>
              <w:right w:val="single" w:color="D2DCE8" w:sz="4"/>
            </w:tcBorders>
            <w:shd w:fill="FFFFFF" w:val="clear"/>
            <w:tcMar>
              <w:top w:type="dxa" w:w="80"/>
              <w:left w:type="dxa" w:w="100"/>
              <w:bottom w:type="dxa" w:w="80"/>
              <w:right w:type="dxa" w:w="100"/>
            </w:tcMar>
            <w:vAlign w:val="top"/>
          </w:tcPr>
          <w:p>
            <w:pPr>
              <w:spacing w:after="0" w:before="0"/>
            </w:pPr>
            <w:r>
              <w:rPr>
                <w:rFonts w:ascii="Arial" w:cs="Arial" w:eastAsia="Arial" w:hAnsi="Arial"/>
                <w:b w:val="false"/>
                <w:bCs w:val="false"/>
                <w:color w:val="1B1E2D"/>
                <w:sz w:val="20"/>
                <w:szCs w:val="20"/>
              </w:rPr>
              <w:t xml:space="preserve">0–6</w:t>
            </w:r>
          </w:p>
        </w:tc>
        <w:tc>
          <w:tcPr>
            <w:tcW w:type="dxa" w:w="880"/>
            <w:tcBorders>
              <w:top w:val="single" w:color="D2DCE8" w:sz="4"/>
              <w:left w:val="single" w:color="D2DCE8" w:sz="4"/>
              <w:bottom w:val="single" w:color="D2DCE8" w:sz="4"/>
              <w:right w:val="single" w:color="D2DCE8" w:sz="4"/>
            </w:tcBorders>
            <w:shd w:fill="FFFFFF" w:val="clear"/>
            <w:tcMar>
              <w:top w:type="dxa" w:w="80"/>
              <w:left w:type="dxa" w:w="100"/>
              <w:bottom w:type="dxa" w:w="80"/>
              <w:right w:type="dxa" w:w="100"/>
            </w:tcMar>
            <w:vAlign w:val="top"/>
          </w:tcPr>
          <w:p>
            <w:pPr>
              <w:spacing w:after="0" w:before="0"/>
            </w:pPr>
            <w:r>
              <w:rPr>
                <w:rFonts w:ascii="Arial" w:cs="Arial" w:eastAsia="Arial" w:hAnsi="Arial"/>
                <w:b w:val="false"/>
                <w:bCs w:val="false"/>
                <w:color w:val="1B1E2D"/>
                <w:sz w:val="20"/>
                <w:szCs w:val="20"/>
              </w:rPr>
              <w:t xml:space="preserve">Lead-in</w:t>
            </w:r>
          </w:p>
        </w:tc>
        <w:tc>
          <w:tcPr>
            <w:tcW w:type="dxa" w:w="720"/>
            <w:tcBorders>
              <w:top w:val="single" w:color="D2DCE8" w:sz="4"/>
              <w:left w:val="single" w:color="D2DCE8" w:sz="4"/>
              <w:bottom w:val="single" w:color="D2DCE8" w:sz="4"/>
              <w:right w:val="single" w:color="D2DCE8" w:sz="4"/>
            </w:tcBorders>
            <w:shd w:fill="FFFFFF" w:val="clear"/>
            <w:tcMar>
              <w:top w:type="dxa" w:w="80"/>
              <w:left w:type="dxa" w:w="100"/>
              <w:bottom w:type="dxa" w:w="80"/>
              <w:right w:type="dxa" w:w="100"/>
            </w:tcMar>
            <w:vAlign w:val="top"/>
          </w:tcPr>
          <w:p>
            <w:pPr>
              <w:spacing w:after="0" w:before="0"/>
            </w:pPr>
            <w:r>
              <w:rPr>
                <w:rFonts w:ascii="Arial" w:cs="Arial" w:eastAsia="Arial" w:hAnsi="Arial"/>
                <w:b w:val="false"/>
                <w:bCs w:val="false"/>
                <w:color w:val="1B1E2D"/>
                <w:sz w:val="20"/>
                <w:szCs w:val="20"/>
              </w:rPr>
              <w:t xml:space="preserve">Speaking</w:t>
            </w:r>
          </w:p>
        </w:tc>
        <w:tc>
          <w:tcPr>
            <w:tcW w:type="dxa" w:w="3373"/>
            <w:tcBorders>
              <w:top w:val="single" w:color="D2DCE8" w:sz="4"/>
              <w:left w:val="single" w:color="D2DCE8" w:sz="4"/>
              <w:bottom w:val="single" w:color="D2DCE8" w:sz="4"/>
              <w:right w:val="single" w:color="D2DCE8" w:sz="4"/>
            </w:tcBorders>
            <w:shd w:fill="FFFFFF" w:val="clear"/>
            <w:tcMar>
              <w:top w:type="dxa" w:w="80"/>
              <w:left w:type="dxa" w:w="100"/>
              <w:bottom w:type="dxa" w:w="80"/>
              <w:right w:type="dxa" w:w="100"/>
            </w:tcMar>
            <w:vAlign w:val="top"/>
          </w:tcPr>
          <w:p>
            <w:pPr>
              <w:spacing w:after="0" w:before="0"/>
            </w:pPr>
            <w:r>
              <w:rPr>
                <w:rFonts w:ascii="Arial" w:cs="Arial" w:eastAsia="Arial" w:hAnsi="Arial"/>
                <w:b w:val="false"/>
                <w:bCs w:val="false"/>
                <w:color w:val="1B1E2D"/>
                <w:sz w:val="20"/>
                <w:szCs w:val="20"/>
              </w:rPr>
              <w:t xml:space="preserve">"Multitasking is a skill — agree or disagree?" Pairs discuss 2 min. Hold — return at end.</w:t>
            </w:r>
          </w:p>
        </w:tc>
        <w:tc>
          <w:tcPr>
            <w:tcW w:type="dxa" w:w="1373"/>
            <w:tcBorders>
              <w:top w:val="single" w:color="D2DCE8" w:sz="4"/>
              <w:left w:val="single" w:color="D2DCE8" w:sz="4"/>
              <w:bottom w:val="single" w:color="D2DCE8" w:sz="4"/>
              <w:right w:val="single" w:color="D2DCE8" w:sz="4"/>
            </w:tcBorders>
            <w:shd w:fill="FFFFFF" w:val="clear"/>
            <w:tcMar>
              <w:top w:type="dxa" w:w="80"/>
              <w:left w:type="dxa" w:w="100"/>
              <w:bottom w:type="dxa" w:w="80"/>
              <w:right w:type="dxa" w:w="100"/>
            </w:tcMar>
          </w:tcPr>
          <w:p>
            <w:pPr>
              <w:spacing w:after="0" w:before="0"/>
            </w:pPr>
            <w:r>
              <w:rPr>
                <w:rFonts w:ascii="Arial" w:cs="Arial" w:eastAsia="Arial" w:hAnsi="Arial"/>
                <w:b w:val="false"/>
                <w:bCs w:val="false"/>
                <w:color w:val="1B1E2D"/>
                <w:sz w:val="20"/>
                <w:szCs w:val="20"/>
              </w:rPr>
              <w:t xml:space="preserve">Complete tasks.</w:t>
            </w:r>
          </w:p>
        </w:tc>
      </w:tr>
      <w:tr>
        <w:tc>
          <w:tcPr>
            <w:tcW w:type="dxa" w:w="680"/>
            <w:tcBorders>
              <w:top w:val="single" w:color="D2DCE8" w:sz="4"/>
              <w:left w:val="single" w:color="D2DCE8" w:sz="4"/>
              <w:bottom w:val="single" w:color="D2DCE8" w:sz="4"/>
              <w:right w:val="single" w:color="D2DCE8" w:sz="4"/>
            </w:tcBorders>
            <w:shd w:fill="F0F4ED" w:val="clear"/>
            <w:tcMar>
              <w:top w:type="dxa" w:w="80"/>
              <w:left w:type="dxa" w:w="100"/>
              <w:bottom w:type="dxa" w:w="80"/>
              <w:right w:type="dxa" w:w="100"/>
            </w:tcMar>
            <w:vAlign w:val="top"/>
          </w:tcPr>
          <w:p>
            <w:pPr>
              <w:spacing w:after="0" w:before="0"/>
            </w:pPr>
            <w:r>
              <w:rPr>
                <w:rFonts w:ascii="Arial" w:cs="Arial" w:eastAsia="Arial" w:hAnsi="Arial"/>
                <w:b w:val="false"/>
                <w:bCs w:val="false"/>
                <w:color w:val="1B1E2D"/>
                <w:sz w:val="20"/>
                <w:szCs w:val="20"/>
              </w:rPr>
              <w:t xml:space="preserve">6–18</w:t>
            </w:r>
          </w:p>
        </w:tc>
        <w:tc>
          <w:tcPr>
            <w:tcW w:type="dxa" w:w="880"/>
            <w:tcBorders>
              <w:top w:val="single" w:color="D2DCE8" w:sz="4"/>
              <w:left w:val="single" w:color="D2DCE8" w:sz="4"/>
              <w:bottom w:val="single" w:color="D2DCE8" w:sz="4"/>
              <w:right w:val="single" w:color="D2DCE8" w:sz="4"/>
            </w:tcBorders>
            <w:shd w:fill="F0F4ED" w:val="clear"/>
            <w:tcMar>
              <w:top w:type="dxa" w:w="80"/>
              <w:left w:type="dxa" w:w="100"/>
              <w:bottom w:type="dxa" w:w="80"/>
              <w:right w:type="dxa" w:w="100"/>
            </w:tcMar>
            <w:vAlign w:val="top"/>
          </w:tcPr>
          <w:p>
            <w:pPr>
              <w:spacing w:after="0" w:before="0"/>
            </w:pPr>
            <w:r>
              <w:rPr>
                <w:rFonts w:ascii="Arial" w:cs="Arial" w:eastAsia="Arial" w:hAnsi="Arial"/>
                <w:b w:val="false"/>
                <w:bCs w:val="false"/>
                <w:color w:val="1B1E2D"/>
                <w:sz w:val="20"/>
                <w:szCs w:val="20"/>
              </w:rPr>
              <w:t xml:space="preserve">Vocabulary</w:t>
            </w:r>
          </w:p>
        </w:tc>
        <w:tc>
          <w:tcPr>
            <w:tcW w:type="dxa" w:w="720"/>
            <w:tcBorders>
              <w:top w:val="single" w:color="D2DCE8" w:sz="4"/>
              <w:left w:val="single" w:color="D2DCE8" w:sz="4"/>
              <w:bottom w:val="single" w:color="D2DCE8" w:sz="4"/>
              <w:right w:val="single" w:color="D2DCE8" w:sz="4"/>
            </w:tcBorders>
            <w:shd w:fill="F0F4ED" w:val="clear"/>
            <w:tcMar>
              <w:top w:type="dxa" w:w="80"/>
              <w:left w:type="dxa" w:w="100"/>
              <w:bottom w:type="dxa" w:w="80"/>
              <w:right w:type="dxa" w:w="100"/>
            </w:tcMar>
            <w:vAlign w:val="top"/>
          </w:tcPr>
          <w:p>
            <w:pPr>
              <w:spacing w:after="0" w:before="0"/>
            </w:pPr>
            <w:r>
              <w:rPr>
                <w:rFonts w:ascii="Arial" w:cs="Arial" w:eastAsia="Arial" w:hAnsi="Arial"/>
                <w:b w:val="false"/>
                <w:bCs w:val="false"/>
                <w:color w:val="1B1E2D"/>
                <w:sz w:val="20"/>
                <w:szCs w:val="20"/>
              </w:rPr>
              <w:t xml:space="preserve">—</w:t>
            </w:r>
          </w:p>
        </w:tc>
        <w:tc>
          <w:tcPr>
            <w:tcW w:type="dxa" w:w="3373"/>
            <w:tcBorders>
              <w:top w:val="single" w:color="D2DCE8" w:sz="4"/>
              <w:left w:val="single" w:color="D2DCE8" w:sz="4"/>
              <w:bottom w:val="single" w:color="D2DCE8" w:sz="4"/>
              <w:right w:val="single" w:color="D2DCE8" w:sz="4"/>
            </w:tcBorders>
            <w:shd w:fill="F0F4ED" w:val="clear"/>
            <w:tcMar>
              <w:top w:type="dxa" w:w="80"/>
              <w:left w:type="dxa" w:w="100"/>
              <w:bottom w:type="dxa" w:w="80"/>
              <w:right w:type="dxa" w:w="100"/>
            </w:tcMar>
            <w:vAlign w:val="top"/>
          </w:tcPr>
          <w:p>
            <w:pPr>
              <w:spacing w:after="0" w:before="0"/>
            </w:pPr>
            <w:r>
              <w:rPr>
                <w:rFonts w:ascii="Arial" w:cs="Arial" w:eastAsia="Arial" w:hAnsi="Arial"/>
                <w:b w:val="false"/>
                <w:bCs w:val="false"/>
                <w:color w:val="1B1E2D"/>
                <w:sz w:val="20"/>
                <w:szCs w:val="20"/>
              </w:rPr>
              <w:t xml:space="preserve">H1: word cards. Pre-teach switch cost as the central concept. Focus on cognitive · sequential · capacity. Task A + Task B.</w:t>
            </w:r>
          </w:p>
        </w:tc>
        <w:tc>
          <w:tcPr>
            <w:tcW w:type="dxa" w:w="1373"/>
            <w:tcBorders>
              <w:top w:val="single" w:color="D2DCE8" w:sz="4"/>
              <w:left w:val="single" w:color="D2DCE8" w:sz="4"/>
              <w:bottom w:val="single" w:color="D2DCE8" w:sz="4"/>
              <w:right w:val="single" w:color="D2DCE8" w:sz="4"/>
            </w:tcBorders>
            <w:shd w:fill="F0F4ED" w:val="clear"/>
            <w:tcMar>
              <w:top w:type="dxa" w:w="80"/>
              <w:left w:type="dxa" w:w="100"/>
              <w:bottom w:type="dxa" w:w="80"/>
              <w:right w:type="dxa" w:w="100"/>
            </w:tcMar>
          </w:tcPr>
          <w:p>
            <w:pPr>
              <w:spacing w:after="0" w:before="0"/>
            </w:pPr>
            <w:r>
              <w:rPr>
                <w:rFonts w:ascii="Arial" w:cs="Arial" w:eastAsia="Arial" w:hAnsi="Arial"/>
                <w:b w:val="false"/>
                <w:bCs w:val="false"/>
                <w:color w:val="1B1E2D"/>
                <w:sz w:val="20"/>
                <w:szCs w:val="20"/>
              </w:rPr>
              <w:t xml:space="preserve">Complete tasks.</w:t>
            </w:r>
          </w:p>
        </w:tc>
      </w:tr>
      <w:tr>
        <w:tc>
          <w:tcPr>
            <w:tcW w:type="dxa" w:w="680"/>
            <w:tcBorders>
              <w:top w:val="single" w:color="D2DCE8" w:sz="4"/>
              <w:left w:val="single" w:color="D2DCE8" w:sz="4"/>
              <w:bottom w:val="single" w:color="D2DCE8" w:sz="4"/>
              <w:right w:val="single" w:color="D2DCE8" w:sz="4"/>
            </w:tcBorders>
            <w:shd w:fill="FFFFFF" w:val="clear"/>
            <w:tcMar>
              <w:top w:type="dxa" w:w="80"/>
              <w:left w:type="dxa" w:w="100"/>
              <w:bottom w:type="dxa" w:w="80"/>
              <w:right w:type="dxa" w:w="100"/>
            </w:tcMar>
            <w:vAlign w:val="top"/>
          </w:tcPr>
          <w:p>
            <w:pPr>
              <w:spacing w:after="0" w:before="0"/>
            </w:pPr>
            <w:r>
              <w:rPr>
                <w:rFonts w:ascii="Arial" w:cs="Arial" w:eastAsia="Arial" w:hAnsi="Arial"/>
                <w:b w:val="false"/>
                <w:bCs w:val="false"/>
                <w:color w:val="1B1E2D"/>
                <w:sz w:val="20"/>
                <w:szCs w:val="20"/>
              </w:rPr>
              <w:t xml:space="preserve">18–30</w:t>
            </w:r>
          </w:p>
        </w:tc>
        <w:tc>
          <w:tcPr>
            <w:tcW w:type="dxa" w:w="880"/>
            <w:tcBorders>
              <w:top w:val="single" w:color="D2DCE8" w:sz="4"/>
              <w:left w:val="single" w:color="D2DCE8" w:sz="4"/>
              <w:bottom w:val="single" w:color="D2DCE8" w:sz="4"/>
              <w:right w:val="single" w:color="D2DCE8" w:sz="4"/>
            </w:tcBorders>
            <w:shd w:fill="FFFFFF" w:val="clear"/>
            <w:tcMar>
              <w:top w:type="dxa" w:w="80"/>
              <w:left w:type="dxa" w:w="100"/>
              <w:bottom w:type="dxa" w:w="80"/>
              <w:right w:type="dxa" w:w="100"/>
            </w:tcMar>
            <w:vAlign w:val="top"/>
          </w:tcPr>
          <w:p>
            <w:pPr>
              <w:spacing w:after="0" w:before="0"/>
            </w:pPr>
            <w:r>
              <w:rPr>
                <w:rFonts w:ascii="Arial" w:cs="Arial" w:eastAsia="Arial" w:hAnsi="Arial"/>
                <w:b w:val="false"/>
                <w:bCs w:val="false"/>
                <w:color w:val="1B1E2D"/>
                <w:sz w:val="20"/>
                <w:szCs w:val="20"/>
              </w:rPr>
              <w:t xml:space="preserve">Grammar</w:t>
            </w:r>
          </w:p>
        </w:tc>
        <w:tc>
          <w:tcPr>
            <w:tcW w:type="dxa" w:w="720"/>
            <w:tcBorders>
              <w:top w:val="single" w:color="D2DCE8" w:sz="4"/>
              <w:left w:val="single" w:color="D2DCE8" w:sz="4"/>
              <w:bottom w:val="single" w:color="D2DCE8" w:sz="4"/>
              <w:right w:val="single" w:color="D2DCE8" w:sz="4"/>
            </w:tcBorders>
            <w:shd w:fill="FFFFFF" w:val="clear"/>
            <w:tcMar>
              <w:top w:type="dxa" w:w="80"/>
              <w:left w:type="dxa" w:w="100"/>
              <w:bottom w:type="dxa" w:w="80"/>
              <w:right w:type="dxa" w:w="100"/>
            </w:tcMar>
            <w:vAlign w:val="top"/>
          </w:tcPr>
          <w:p>
            <w:pPr>
              <w:spacing w:after="0" w:before="0"/>
            </w:pPr>
            <w:r>
              <w:rPr>
                <w:rFonts w:ascii="Arial" w:cs="Arial" w:eastAsia="Arial" w:hAnsi="Arial"/>
                <w:b w:val="false"/>
                <w:bCs w:val="false"/>
                <w:color w:val="1B1E2D"/>
                <w:sz w:val="20"/>
                <w:szCs w:val="20"/>
              </w:rPr>
              <w:t xml:space="preserve">—</w:t>
            </w:r>
          </w:p>
        </w:tc>
        <w:tc>
          <w:tcPr>
            <w:tcW w:type="dxa" w:w="3373"/>
            <w:tcBorders>
              <w:top w:val="single" w:color="D2DCE8" w:sz="4"/>
              <w:left w:val="single" w:color="D2DCE8" w:sz="4"/>
              <w:bottom w:val="single" w:color="D2DCE8" w:sz="4"/>
              <w:right w:val="single" w:color="D2DCE8" w:sz="4"/>
            </w:tcBorders>
            <w:shd w:fill="FFFFFF" w:val="clear"/>
            <w:tcMar>
              <w:top w:type="dxa" w:w="80"/>
              <w:left w:type="dxa" w:w="100"/>
              <w:bottom w:type="dxa" w:w="80"/>
              <w:right w:type="dxa" w:w="100"/>
            </w:tcMar>
            <w:vAlign w:val="top"/>
          </w:tcPr>
          <w:p>
            <w:pPr>
              <w:spacing w:after="0" w:before="0"/>
            </w:pPr>
            <w:r>
              <w:rPr>
                <w:rFonts w:ascii="Arial" w:cs="Arial" w:eastAsia="Arial" w:hAnsi="Arial"/>
                <w:b w:val="false"/>
                <w:bCs w:val="false"/>
                <w:color w:val="1B1E2D"/>
                <w:sz w:val="20"/>
                <w:szCs w:val="20"/>
              </w:rPr>
              <w:t xml:space="preserve">H2: Mixed Conditionals + C1 inversion. Connect to topic: "If I had worked sequentially, I would be finished by now." Both reading and listening contain examples. Exercises 1–3.</w:t>
            </w:r>
          </w:p>
        </w:tc>
        <w:tc>
          <w:tcPr>
            <w:tcW w:type="dxa" w:w="1373"/>
            <w:tcBorders>
              <w:top w:val="single" w:color="D2DCE8" w:sz="4"/>
              <w:left w:val="single" w:color="D2DCE8" w:sz="4"/>
              <w:bottom w:val="single" w:color="D2DCE8" w:sz="4"/>
              <w:right w:val="single" w:color="D2DCE8" w:sz="4"/>
            </w:tcBorders>
            <w:shd w:fill="FFFFFF" w:val="clear"/>
            <w:tcMar>
              <w:top w:type="dxa" w:w="80"/>
              <w:left w:type="dxa" w:w="100"/>
              <w:bottom w:type="dxa" w:w="80"/>
              <w:right w:type="dxa" w:w="100"/>
            </w:tcMar>
          </w:tcPr>
          <w:p>
            <w:pPr>
              <w:spacing w:after="0" w:before="0"/>
            </w:pPr>
            <w:r>
              <w:rPr>
                <w:rFonts w:ascii="Arial" w:cs="Arial" w:eastAsia="Arial" w:hAnsi="Arial"/>
                <w:b w:val="false"/>
                <w:bCs w:val="false"/>
                <w:color w:val="1B1E2D"/>
                <w:sz w:val="20"/>
                <w:szCs w:val="20"/>
              </w:rPr>
              <w:t xml:space="preserve">Complete tasks.</w:t>
            </w:r>
          </w:p>
        </w:tc>
      </w:tr>
      <w:tr>
        <w:tc>
          <w:tcPr>
            <w:tcW w:type="dxa" w:w="680"/>
            <w:tcBorders>
              <w:top w:val="single" w:color="D2DCE8" w:sz="4"/>
              <w:left w:val="single" w:color="D2DCE8" w:sz="4"/>
              <w:bottom w:val="single" w:color="D2DCE8" w:sz="4"/>
              <w:right w:val="single" w:color="D2DCE8" w:sz="4"/>
            </w:tcBorders>
            <w:shd w:fill="F0F4ED" w:val="clear"/>
            <w:tcMar>
              <w:top w:type="dxa" w:w="80"/>
              <w:left w:type="dxa" w:w="100"/>
              <w:bottom w:type="dxa" w:w="80"/>
              <w:right w:type="dxa" w:w="100"/>
            </w:tcMar>
            <w:vAlign w:val="top"/>
          </w:tcPr>
          <w:p>
            <w:pPr>
              <w:spacing w:after="0" w:before="0"/>
            </w:pPr>
            <w:r>
              <w:rPr>
                <w:rFonts w:ascii="Arial" w:cs="Arial" w:eastAsia="Arial" w:hAnsi="Arial"/>
                <w:b w:val="false"/>
                <w:bCs w:val="false"/>
                <w:color w:val="1B1E2D"/>
                <w:sz w:val="20"/>
                <w:szCs w:val="20"/>
              </w:rPr>
              <w:t xml:space="preserve">30–45</w:t>
            </w:r>
          </w:p>
        </w:tc>
        <w:tc>
          <w:tcPr>
            <w:tcW w:type="dxa" w:w="880"/>
            <w:tcBorders>
              <w:top w:val="single" w:color="D2DCE8" w:sz="4"/>
              <w:left w:val="single" w:color="D2DCE8" w:sz="4"/>
              <w:bottom w:val="single" w:color="D2DCE8" w:sz="4"/>
              <w:right w:val="single" w:color="D2DCE8" w:sz="4"/>
            </w:tcBorders>
            <w:shd w:fill="F0F4ED" w:val="clear"/>
            <w:tcMar>
              <w:top w:type="dxa" w:w="80"/>
              <w:left w:type="dxa" w:w="100"/>
              <w:bottom w:type="dxa" w:w="80"/>
              <w:right w:type="dxa" w:w="100"/>
            </w:tcMar>
            <w:vAlign w:val="top"/>
          </w:tcPr>
          <w:p>
            <w:pPr>
              <w:spacing w:after="0" w:before="0"/>
            </w:pPr>
            <w:r>
              <w:rPr>
                <w:rFonts w:ascii="Arial" w:cs="Arial" w:eastAsia="Arial" w:hAnsi="Arial"/>
                <w:b w:val="false"/>
                <w:bCs w:val="false"/>
                <w:color w:val="1B1E2D"/>
                <w:sz w:val="20"/>
                <w:szCs w:val="20"/>
              </w:rPr>
              <w:t xml:space="preserve">Reading</w:t>
            </w:r>
          </w:p>
        </w:tc>
        <w:tc>
          <w:tcPr>
            <w:tcW w:type="dxa" w:w="720"/>
            <w:tcBorders>
              <w:top w:val="single" w:color="D2DCE8" w:sz="4"/>
              <w:left w:val="single" w:color="D2DCE8" w:sz="4"/>
              <w:bottom w:val="single" w:color="D2DCE8" w:sz="4"/>
              <w:right w:val="single" w:color="D2DCE8" w:sz="4"/>
            </w:tcBorders>
            <w:shd w:fill="F0F4ED" w:val="clear"/>
            <w:tcMar>
              <w:top w:type="dxa" w:w="80"/>
              <w:left w:type="dxa" w:w="100"/>
              <w:bottom w:type="dxa" w:w="80"/>
              <w:right w:type="dxa" w:w="100"/>
            </w:tcMar>
            <w:vAlign w:val="top"/>
          </w:tcPr>
          <w:p>
            <w:pPr>
              <w:spacing w:after="0" w:before="0"/>
            </w:pPr>
            <w:r>
              <w:rPr>
                <w:rFonts w:ascii="Arial" w:cs="Arial" w:eastAsia="Arial" w:hAnsi="Arial"/>
                <w:b w:val="false"/>
                <w:bCs w:val="false"/>
                <w:color w:val="1B1E2D"/>
                <w:sz w:val="20"/>
                <w:szCs w:val="20"/>
              </w:rPr>
              <w:t xml:space="preserve">Reading</w:t>
            </w:r>
          </w:p>
        </w:tc>
        <w:tc>
          <w:tcPr>
            <w:tcW w:type="dxa" w:w="3373"/>
            <w:tcBorders>
              <w:top w:val="single" w:color="D2DCE8" w:sz="4"/>
              <w:left w:val="single" w:color="D2DCE8" w:sz="4"/>
              <w:bottom w:val="single" w:color="D2DCE8" w:sz="4"/>
              <w:right w:val="single" w:color="D2DCE8" w:sz="4"/>
            </w:tcBorders>
            <w:shd w:fill="F0F4ED" w:val="clear"/>
            <w:tcMar>
              <w:top w:type="dxa" w:w="80"/>
              <w:left w:type="dxa" w:w="100"/>
              <w:bottom w:type="dxa" w:w="80"/>
              <w:right w:type="dxa" w:w="100"/>
            </w:tcMar>
            <w:vAlign w:val="top"/>
          </w:tcPr>
          <w:p>
            <w:pPr>
              <w:spacing w:after="0" w:before="0"/>
            </w:pPr>
            <w:r>
              <w:rPr>
                <w:rFonts w:ascii="Arial" w:cs="Arial" w:eastAsia="Arial" w:hAnsi="Arial"/>
                <w:b w:val="false"/>
                <w:bCs w:val="false"/>
                <w:color w:val="1B1E2D"/>
                <w:sz w:val="20"/>
                <w:szCs w:val="20"/>
              </w:rPr>
              <w:t xml:space="preserve">H3: "The Multitasking Illusion." Students read silently. Key: "Does the essay argue we should never multitask — or does it make a more precise claim?" Find the mixed conditional.</w:t>
            </w:r>
          </w:p>
        </w:tc>
        <w:tc>
          <w:tcPr>
            <w:tcW w:type="dxa" w:w="1373"/>
            <w:tcBorders>
              <w:top w:val="single" w:color="D2DCE8" w:sz="4"/>
              <w:left w:val="single" w:color="D2DCE8" w:sz="4"/>
              <w:bottom w:val="single" w:color="D2DCE8" w:sz="4"/>
              <w:right w:val="single" w:color="D2DCE8" w:sz="4"/>
            </w:tcBorders>
            <w:shd w:fill="F0F4ED" w:val="clear"/>
            <w:tcMar>
              <w:top w:type="dxa" w:w="80"/>
              <w:left w:type="dxa" w:w="100"/>
              <w:bottom w:type="dxa" w:w="80"/>
              <w:right w:type="dxa" w:w="100"/>
            </w:tcMar>
          </w:tcPr>
          <w:p>
            <w:pPr>
              <w:spacing w:after="0" w:before="0"/>
            </w:pPr>
            <w:r>
              <w:rPr>
                <w:rFonts w:ascii="Arial" w:cs="Arial" w:eastAsia="Arial" w:hAnsi="Arial"/>
                <w:b w:val="false"/>
                <w:bCs w:val="false"/>
                <w:color w:val="1B1E2D"/>
                <w:sz w:val="20"/>
                <w:szCs w:val="20"/>
              </w:rPr>
              <w:t xml:space="preserve">Complete tasks.</w:t>
            </w:r>
          </w:p>
        </w:tc>
      </w:tr>
      <w:tr>
        <w:tc>
          <w:tcPr>
            <w:tcW w:type="dxa" w:w="680"/>
            <w:tcBorders>
              <w:top w:val="single" w:color="D2DCE8" w:sz="4"/>
              <w:left w:val="single" w:color="D2DCE8" w:sz="4"/>
              <w:bottom w:val="single" w:color="D2DCE8" w:sz="4"/>
              <w:right w:val="single" w:color="D2DCE8" w:sz="4"/>
            </w:tcBorders>
            <w:shd w:fill="FFFFFF" w:val="clear"/>
            <w:tcMar>
              <w:top w:type="dxa" w:w="80"/>
              <w:left w:type="dxa" w:w="100"/>
              <w:bottom w:type="dxa" w:w="80"/>
              <w:right w:type="dxa" w:w="100"/>
            </w:tcMar>
            <w:vAlign w:val="top"/>
          </w:tcPr>
          <w:p>
            <w:pPr>
              <w:spacing w:after="0" w:before="0"/>
            </w:pPr>
            <w:r>
              <w:rPr>
                <w:rFonts w:ascii="Arial" w:cs="Arial" w:eastAsia="Arial" w:hAnsi="Arial"/>
                <w:b w:val="false"/>
                <w:bCs w:val="false"/>
                <w:color w:val="1B1E2D"/>
                <w:sz w:val="20"/>
                <w:szCs w:val="20"/>
              </w:rPr>
              <w:t xml:space="preserve">45–58</w:t>
            </w:r>
          </w:p>
        </w:tc>
        <w:tc>
          <w:tcPr>
            <w:tcW w:type="dxa" w:w="880"/>
            <w:tcBorders>
              <w:top w:val="single" w:color="D2DCE8" w:sz="4"/>
              <w:left w:val="single" w:color="D2DCE8" w:sz="4"/>
              <w:bottom w:val="single" w:color="D2DCE8" w:sz="4"/>
              <w:right w:val="single" w:color="D2DCE8" w:sz="4"/>
            </w:tcBorders>
            <w:shd w:fill="FFFFFF" w:val="clear"/>
            <w:tcMar>
              <w:top w:type="dxa" w:w="80"/>
              <w:left w:type="dxa" w:w="100"/>
              <w:bottom w:type="dxa" w:w="80"/>
              <w:right w:type="dxa" w:w="100"/>
            </w:tcMar>
            <w:vAlign w:val="top"/>
          </w:tcPr>
          <w:p>
            <w:pPr>
              <w:spacing w:after="0" w:before="0"/>
            </w:pPr>
            <w:r>
              <w:rPr>
                <w:rFonts w:ascii="Arial" w:cs="Arial" w:eastAsia="Arial" w:hAnsi="Arial"/>
                <w:b w:val="false"/>
                <w:bCs w:val="false"/>
                <w:color w:val="1B1E2D"/>
                <w:sz w:val="20"/>
                <w:szCs w:val="20"/>
              </w:rPr>
              <w:t xml:space="preserve">Listening</w:t>
            </w:r>
          </w:p>
        </w:tc>
        <w:tc>
          <w:tcPr>
            <w:tcW w:type="dxa" w:w="720"/>
            <w:tcBorders>
              <w:top w:val="single" w:color="D2DCE8" w:sz="4"/>
              <w:left w:val="single" w:color="D2DCE8" w:sz="4"/>
              <w:bottom w:val="single" w:color="D2DCE8" w:sz="4"/>
              <w:right w:val="single" w:color="D2DCE8" w:sz="4"/>
            </w:tcBorders>
            <w:shd w:fill="FFFFFF" w:val="clear"/>
            <w:tcMar>
              <w:top w:type="dxa" w:w="80"/>
              <w:left w:type="dxa" w:w="100"/>
              <w:bottom w:type="dxa" w:w="80"/>
              <w:right w:type="dxa" w:w="100"/>
            </w:tcMar>
            <w:vAlign w:val="top"/>
          </w:tcPr>
          <w:p>
            <w:pPr>
              <w:spacing w:after="0" w:before="0"/>
            </w:pPr>
            <w:r>
              <w:rPr>
                <w:rFonts w:ascii="Arial" w:cs="Arial" w:eastAsia="Arial" w:hAnsi="Arial"/>
                <w:b w:val="false"/>
                <w:bCs w:val="false"/>
                <w:color w:val="1B1E2D"/>
                <w:sz w:val="20"/>
                <w:szCs w:val="20"/>
              </w:rPr>
              <w:t xml:space="preserve">Listening</w:t>
            </w:r>
          </w:p>
        </w:tc>
        <w:tc>
          <w:tcPr>
            <w:tcW w:type="dxa" w:w="3373"/>
            <w:tcBorders>
              <w:top w:val="single" w:color="D2DCE8" w:sz="4"/>
              <w:left w:val="single" w:color="D2DCE8" w:sz="4"/>
              <w:bottom w:val="single" w:color="D2DCE8" w:sz="4"/>
              <w:right w:val="single" w:color="D2DCE8" w:sz="4"/>
            </w:tcBorders>
            <w:shd w:fill="FFFFFF" w:val="clear"/>
            <w:tcMar>
              <w:top w:type="dxa" w:w="80"/>
              <w:left w:type="dxa" w:w="100"/>
              <w:bottom w:type="dxa" w:w="80"/>
              <w:right w:type="dxa" w:w="100"/>
            </w:tcMar>
            <w:vAlign w:val="top"/>
          </w:tcPr>
          <w:p>
            <w:pPr>
              <w:spacing w:after="0" w:before="0"/>
            </w:pPr>
            <w:r>
              <w:rPr>
                <w:rFonts w:ascii="Arial" w:cs="Arial" w:eastAsia="Arial" w:hAnsi="Arial"/>
                <w:b w:val="false"/>
                <w:bCs w:val="false"/>
                <w:color w:val="1B1E2D"/>
                <w:sz w:val="20"/>
                <w:szCs w:val="20"/>
              </w:rPr>
              <w:t xml:space="preserve">H4: Read TWICE. Ben is convinced he multitasks well. Emma examines his actual output. First listen: what evidence does Emma use? Second: gap fill and analysis. Find Ben's inversion.</w:t>
            </w:r>
          </w:p>
        </w:tc>
        <w:tc>
          <w:tcPr>
            <w:tcW w:type="dxa" w:w="1373"/>
            <w:tcBorders>
              <w:top w:val="single" w:color="D2DCE8" w:sz="4"/>
              <w:left w:val="single" w:color="D2DCE8" w:sz="4"/>
              <w:bottom w:val="single" w:color="D2DCE8" w:sz="4"/>
              <w:right w:val="single" w:color="D2DCE8" w:sz="4"/>
            </w:tcBorders>
            <w:shd w:fill="FFFFFF" w:val="clear"/>
            <w:tcMar>
              <w:top w:type="dxa" w:w="80"/>
              <w:left w:type="dxa" w:w="100"/>
              <w:bottom w:type="dxa" w:w="80"/>
              <w:right w:type="dxa" w:w="100"/>
            </w:tcMar>
          </w:tcPr>
          <w:p>
            <w:pPr>
              <w:spacing w:after="0" w:before="0"/>
            </w:pPr>
            <w:r>
              <w:rPr>
                <w:rFonts w:ascii="Arial" w:cs="Arial" w:eastAsia="Arial" w:hAnsi="Arial"/>
                <w:b w:val="false"/>
                <w:bCs w:val="false"/>
                <w:color w:val="1B1E2D"/>
                <w:sz w:val="20"/>
                <w:szCs w:val="20"/>
              </w:rPr>
              <w:t xml:space="preserve">Complete tasks.</w:t>
            </w:r>
          </w:p>
        </w:tc>
      </w:tr>
      <w:tr>
        <w:tc>
          <w:tcPr>
            <w:tcW w:type="dxa" w:w="680"/>
            <w:tcBorders>
              <w:top w:val="single" w:color="D2DCE8" w:sz="4"/>
              <w:left w:val="single" w:color="D2DCE8" w:sz="4"/>
              <w:bottom w:val="single" w:color="D2DCE8" w:sz="4"/>
              <w:right w:val="single" w:color="D2DCE8" w:sz="4"/>
            </w:tcBorders>
            <w:shd w:fill="F0F4ED" w:val="clear"/>
            <w:tcMar>
              <w:top w:type="dxa" w:w="80"/>
              <w:left w:type="dxa" w:w="100"/>
              <w:bottom w:type="dxa" w:w="80"/>
              <w:right w:type="dxa" w:w="100"/>
            </w:tcMar>
            <w:vAlign w:val="top"/>
          </w:tcPr>
          <w:p>
            <w:pPr>
              <w:spacing w:after="0" w:before="0"/>
            </w:pPr>
            <w:r>
              <w:rPr>
                <w:rFonts w:ascii="Arial" w:cs="Arial" w:eastAsia="Arial" w:hAnsi="Arial"/>
                <w:b w:val="false"/>
                <w:bCs w:val="false"/>
                <w:color w:val="1B1E2D"/>
                <w:sz w:val="20"/>
                <w:szCs w:val="20"/>
              </w:rPr>
              <w:t xml:space="preserve">58–75</w:t>
            </w:r>
          </w:p>
        </w:tc>
        <w:tc>
          <w:tcPr>
            <w:tcW w:type="dxa" w:w="880"/>
            <w:tcBorders>
              <w:top w:val="single" w:color="D2DCE8" w:sz="4"/>
              <w:left w:val="single" w:color="D2DCE8" w:sz="4"/>
              <w:bottom w:val="single" w:color="D2DCE8" w:sz="4"/>
              <w:right w:val="single" w:color="D2DCE8" w:sz="4"/>
            </w:tcBorders>
            <w:shd w:fill="F0F4ED" w:val="clear"/>
            <w:tcMar>
              <w:top w:type="dxa" w:w="80"/>
              <w:left w:type="dxa" w:w="100"/>
              <w:bottom w:type="dxa" w:w="80"/>
              <w:right w:type="dxa" w:w="100"/>
            </w:tcMar>
            <w:vAlign w:val="top"/>
          </w:tcPr>
          <w:p>
            <w:pPr>
              <w:spacing w:after="0" w:before="0"/>
            </w:pPr>
            <w:r>
              <w:rPr>
                <w:rFonts w:ascii="Arial" w:cs="Arial" w:eastAsia="Arial" w:hAnsi="Arial"/>
                <w:b w:val="false"/>
                <w:bCs w:val="false"/>
                <w:color w:val="1B1E2D"/>
                <w:sz w:val="20"/>
                <w:szCs w:val="20"/>
              </w:rPr>
              <w:t xml:space="preserve">Speaking</w:t>
            </w:r>
          </w:p>
        </w:tc>
        <w:tc>
          <w:tcPr>
            <w:tcW w:type="dxa" w:w="720"/>
            <w:tcBorders>
              <w:top w:val="single" w:color="D2DCE8" w:sz="4"/>
              <w:left w:val="single" w:color="D2DCE8" w:sz="4"/>
              <w:bottom w:val="single" w:color="D2DCE8" w:sz="4"/>
              <w:right w:val="single" w:color="D2DCE8" w:sz="4"/>
            </w:tcBorders>
            <w:shd w:fill="F0F4ED" w:val="clear"/>
            <w:tcMar>
              <w:top w:type="dxa" w:w="80"/>
              <w:left w:type="dxa" w:w="100"/>
              <w:bottom w:type="dxa" w:w="80"/>
              <w:right w:type="dxa" w:w="100"/>
            </w:tcMar>
            <w:vAlign w:val="top"/>
          </w:tcPr>
          <w:p>
            <w:pPr>
              <w:spacing w:after="0" w:before="0"/>
            </w:pPr>
            <w:r>
              <w:rPr>
                <w:rFonts w:ascii="Arial" w:cs="Arial" w:eastAsia="Arial" w:hAnsi="Arial"/>
                <w:b w:val="false"/>
                <w:bCs w:val="false"/>
                <w:color w:val="1B1E2D"/>
                <w:sz w:val="20"/>
                <w:szCs w:val="20"/>
              </w:rPr>
              <w:t xml:space="preserve">Speaking</w:t>
            </w:r>
          </w:p>
        </w:tc>
        <w:tc>
          <w:tcPr>
            <w:tcW w:type="dxa" w:w="3373"/>
            <w:tcBorders>
              <w:top w:val="single" w:color="D2DCE8" w:sz="4"/>
              <w:left w:val="single" w:color="D2DCE8" w:sz="4"/>
              <w:bottom w:val="single" w:color="D2DCE8" w:sz="4"/>
              <w:right w:val="single" w:color="D2DCE8" w:sz="4"/>
            </w:tcBorders>
            <w:shd w:fill="F0F4ED" w:val="clear"/>
            <w:tcMar>
              <w:top w:type="dxa" w:w="80"/>
              <w:left w:type="dxa" w:w="100"/>
              <w:bottom w:type="dxa" w:w="80"/>
              <w:right w:type="dxa" w:w="100"/>
            </w:tcMar>
            <w:vAlign w:val="top"/>
          </w:tcPr>
          <w:p>
            <w:pPr>
              <w:spacing w:after="0" w:before="0"/>
            </w:pPr>
            <w:r>
              <w:rPr>
                <w:rFonts w:ascii="Arial" w:cs="Arial" w:eastAsia="Arial" w:hAnsi="Arial"/>
                <w:b w:val="false"/>
                <w:bCs w:val="false"/>
                <w:color w:val="1B1E2D"/>
                <w:sz w:val="20"/>
                <w:szCs w:val="20"/>
              </w:rPr>
              <w:t xml:space="preserve">H5: debate + discussion cards. Return: "Has the lesson changed your answer? Can you define more precisely what makes multitasking a skill or an illusion?"</w:t>
            </w:r>
          </w:p>
        </w:tc>
        <w:tc>
          <w:tcPr>
            <w:tcW w:type="dxa" w:w="1373"/>
            <w:tcBorders>
              <w:top w:val="single" w:color="D2DCE8" w:sz="4"/>
              <w:left w:val="single" w:color="D2DCE8" w:sz="4"/>
              <w:bottom w:val="single" w:color="D2DCE8" w:sz="4"/>
              <w:right w:val="single" w:color="D2DCE8" w:sz="4"/>
            </w:tcBorders>
            <w:shd w:fill="F0F4ED" w:val="clear"/>
            <w:tcMar>
              <w:top w:type="dxa" w:w="80"/>
              <w:left w:type="dxa" w:w="100"/>
              <w:bottom w:type="dxa" w:w="80"/>
              <w:right w:type="dxa" w:w="100"/>
            </w:tcMar>
          </w:tcPr>
          <w:p>
            <w:pPr>
              <w:spacing w:after="0" w:before="0"/>
            </w:pPr>
            <w:r>
              <w:rPr>
                <w:rFonts w:ascii="Arial" w:cs="Arial" w:eastAsia="Arial" w:hAnsi="Arial"/>
                <w:b w:val="false"/>
                <w:bCs w:val="false"/>
                <w:color w:val="1B1E2D"/>
                <w:sz w:val="20"/>
                <w:szCs w:val="20"/>
              </w:rPr>
              <w:t xml:space="preserve">Complete tasks.</w:t>
            </w:r>
          </w:p>
        </w:tc>
      </w:tr>
      <w:tr>
        <w:tc>
          <w:tcPr>
            <w:tcW w:type="dxa" w:w="680"/>
            <w:tcBorders>
              <w:top w:val="single" w:color="D2DCE8" w:sz="4"/>
              <w:left w:val="single" w:color="D2DCE8" w:sz="4"/>
              <w:bottom w:val="single" w:color="D2DCE8" w:sz="4"/>
              <w:right w:val="single" w:color="D2DCE8" w:sz="4"/>
            </w:tcBorders>
            <w:shd w:fill="FFFFFF" w:val="clear"/>
            <w:tcMar>
              <w:top w:type="dxa" w:w="80"/>
              <w:left w:type="dxa" w:w="100"/>
              <w:bottom w:type="dxa" w:w="80"/>
              <w:right w:type="dxa" w:w="100"/>
            </w:tcMar>
            <w:vAlign w:val="top"/>
          </w:tcPr>
          <w:p>
            <w:pPr>
              <w:spacing w:after="0" w:before="0"/>
            </w:pPr>
            <w:r>
              <w:rPr>
                <w:rFonts w:ascii="Arial" w:cs="Arial" w:eastAsia="Arial" w:hAnsi="Arial"/>
                <w:b w:val="false"/>
                <w:bCs w:val="false"/>
                <w:color w:val="1B1E2D"/>
                <w:sz w:val="20"/>
                <w:szCs w:val="20"/>
              </w:rPr>
              <w:t xml:space="preserve">75–90</w:t>
            </w:r>
          </w:p>
        </w:tc>
        <w:tc>
          <w:tcPr>
            <w:tcW w:type="dxa" w:w="880"/>
            <w:tcBorders>
              <w:top w:val="single" w:color="D2DCE8" w:sz="4"/>
              <w:left w:val="single" w:color="D2DCE8" w:sz="4"/>
              <w:bottom w:val="single" w:color="D2DCE8" w:sz="4"/>
              <w:right w:val="single" w:color="D2DCE8" w:sz="4"/>
            </w:tcBorders>
            <w:shd w:fill="FFFFFF" w:val="clear"/>
            <w:tcMar>
              <w:top w:type="dxa" w:w="80"/>
              <w:left w:type="dxa" w:w="100"/>
              <w:bottom w:type="dxa" w:w="80"/>
              <w:right w:type="dxa" w:w="100"/>
            </w:tcMar>
            <w:vAlign w:val="top"/>
          </w:tcPr>
          <w:p>
            <w:pPr>
              <w:spacing w:after="0" w:before="0"/>
            </w:pPr>
            <w:r>
              <w:rPr>
                <w:rFonts w:ascii="Arial" w:cs="Arial" w:eastAsia="Arial" w:hAnsi="Arial"/>
                <w:b w:val="false"/>
                <w:bCs w:val="false"/>
                <w:color w:val="1B1E2D"/>
                <w:sz w:val="20"/>
                <w:szCs w:val="20"/>
              </w:rPr>
              <w:t xml:space="preserve">Writing</w:t>
            </w:r>
          </w:p>
        </w:tc>
        <w:tc>
          <w:tcPr>
            <w:tcW w:type="dxa" w:w="720"/>
            <w:tcBorders>
              <w:top w:val="single" w:color="D2DCE8" w:sz="4"/>
              <w:left w:val="single" w:color="D2DCE8" w:sz="4"/>
              <w:bottom w:val="single" w:color="D2DCE8" w:sz="4"/>
              <w:right w:val="single" w:color="D2DCE8" w:sz="4"/>
            </w:tcBorders>
            <w:shd w:fill="FFFFFF" w:val="clear"/>
            <w:tcMar>
              <w:top w:type="dxa" w:w="80"/>
              <w:left w:type="dxa" w:w="100"/>
              <w:bottom w:type="dxa" w:w="80"/>
              <w:right w:type="dxa" w:w="100"/>
            </w:tcMar>
            <w:vAlign w:val="top"/>
          </w:tcPr>
          <w:p>
            <w:pPr>
              <w:spacing w:after="0" w:before="0"/>
            </w:pPr>
            <w:r>
              <w:rPr>
                <w:rFonts w:ascii="Arial" w:cs="Arial" w:eastAsia="Arial" w:hAnsi="Arial"/>
                <w:b w:val="false"/>
                <w:bCs w:val="false"/>
                <w:color w:val="1B1E2D"/>
                <w:sz w:val="20"/>
                <w:szCs w:val="20"/>
              </w:rPr>
              <w:t xml:space="preserve">Writing</w:t>
            </w:r>
          </w:p>
        </w:tc>
        <w:tc>
          <w:tcPr>
            <w:tcW w:type="dxa" w:w="3373"/>
            <w:tcBorders>
              <w:top w:val="single" w:color="D2DCE8" w:sz="4"/>
              <w:left w:val="single" w:color="D2DCE8" w:sz="4"/>
              <w:bottom w:val="single" w:color="D2DCE8" w:sz="4"/>
              <w:right w:val="single" w:color="D2DCE8" w:sz="4"/>
            </w:tcBorders>
            <w:shd w:fill="FFFFFF" w:val="clear"/>
            <w:tcMar>
              <w:top w:type="dxa" w:w="80"/>
              <w:left w:type="dxa" w:w="100"/>
              <w:bottom w:type="dxa" w:w="80"/>
              <w:right w:type="dxa" w:w="100"/>
            </w:tcMar>
            <w:vAlign w:val="top"/>
          </w:tcPr>
          <w:p>
            <w:pPr>
              <w:spacing w:after="0" w:before="0"/>
            </w:pPr>
            <w:r>
              <w:rPr>
                <w:rFonts w:ascii="Arial" w:cs="Arial" w:eastAsia="Arial" w:hAnsi="Arial"/>
                <w:b w:val="false"/>
                <w:bCs w:val="false"/>
                <w:color w:val="1B1E2D"/>
                <w:sz w:val="20"/>
                <w:szCs w:val="20"/>
              </w:rPr>
              <w:t xml:space="preserve">H6: 150–200 words, two vocabulary words, at least one mixed conditional inversion. Can be homework.</w:t>
            </w:r>
          </w:p>
        </w:tc>
        <w:tc>
          <w:tcPr>
            <w:tcW w:type="dxa" w:w="1373"/>
            <w:tcBorders>
              <w:top w:val="single" w:color="D2DCE8" w:sz="4"/>
              <w:left w:val="single" w:color="D2DCE8" w:sz="4"/>
              <w:bottom w:val="single" w:color="D2DCE8" w:sz="4"/>
              <w:right w:val="single" w:color="D2DCE8" w:sz="4"/>
            </w:tcBorders>
            <w:shd w:fill="FFFFFF" w:val="clear"/>
            <w:tcMar>
              <w:top w:type="dxa" w:w="80"/>
              <w:left w:type="dxa" w:w="100"/>
              <w:bottom w:type="dxa" w:w="80"/>
              <w:right w:type="dxa" w:w="100"/>
            </w:tcMar>
          </w:tcPr>
          <w:p>
            <w:pPr>
              <w:spacing w:after="0" w:before="0"/>
            </w:pPr>
            <w:r>
              <w:rPr>
                <w:rFonts w:ascii="Arial" w:cs="Arial" w:eastAsia="Arial" w:hAnsi="Arial"/>
                <w:b w:val="false"/>
                <w:bCs w:val="false"/>
                <w:color w:val="1B1E2D"/>
                <w:sz w:val="20"/>
                <w:szCs w:val="20"/>
              </w:rPr>
              <w:t xml:space="preserve">Complete tasks.</w:t>
            </w:r>
          </w:p>
        </w:tc>
      </w:tr>
    </w:tbl>
    <w:p>
      <w:pPr>
        <w:spacing w:after="200" w:before="0"/>
      </w:pPr>
      <w:r>
        <w:t xml:space="preserve"/>
      </w:r>
    </w:p>
    <w:p>
      <w:pPr>
        <w:pBdr>
          <w:bottom w:val="single" w:color="2A4A1A" w:sz="12"/>
        </w:pBdr>
        <w:spacing w:after="100" w:before="260"/>
      </w:pPr>
      <w:r>
        <w:rPr>
          <w:rFonts w:ascii="Georgia" w:cs="Georgia" w:eastAsia="Georgia" w:hAnsi="Georgia"/>
          <w:b/>
          <w:bCs/>
          <w:color w:val="2A4A1A"/>
          <w:sz w:val="28"/>
          <w:szCs w:val="28"/>
        </w:rPr>
        <w:t xml:space="preserve">Listening Script — "Is He Really Good at Multitasking?"</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E8F0E3" w:val="clear"/>
            <w:tcMar>
              <w:top w:type="dxa" w:w="120"/>
              <w:left w:type="dxa" w:w="160"/>
              <w:bottom w:type="dxa" w:w="120"/>
              <w:right w:type="dxa" w:w="160"/>
            </w:tcMar>
            <w:vAlign w:val="top"/>
          </w:tcPr>
          <w:p>
            <w:pPr>
              <w:spacing w:after="0" w:before="0"/>
            </w:pPr>
            <w:r>
              <w:rPr>
                <w:rFonts w:ascii="Arial" w:cs="Arial" w:eastAsia="Arial" w:hAnsi="Arial"/>
                <w:b w:val="false"/>
                <w:bCs w:val="false"/>
                <w:color w:val="3D4A5C"/>
                <w:sz w:val="22"/>
                <w:szCs w:val="22"/>
              </w:rPr>
              <w:t xml:space="preserve">Ben prides himself on being a good multitasker. He works on two university assignments at once, keeps several browser tabs open, and replies to messages while he reads. Emma looks at his week's output with him and asks some questions. This is a different scenario from the reading — the focus is on Ben's self-assessment, not on cognitive science theory.</w:t>
            </w:r>
          </w:p>
        </w:tc>
      </w:tr>
    </w:tbl>
    <w:p>
      <w:pPr>
        <w:spacing w:after="80" w:before="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shd w:fill="FFFFFF" w:val="clear"/>
            <w:tcMar>
              <w:top w:type="dxa" w:w="80"/>
              <w:left w:type="dxa" w:w="0"/>
              <w:bottom w:type="dxa" w:w="80"/>
              <w:right w:type="dxa" w:w="100"/>
            </w:tcMar>
          </w:tcPr>
          <w:p>
            <w:r>
              <w:rPr>
                <w:rFonts w:ascii="Courier New" w:cs="Courier New" w:eastAsia="Courier New" w:hAnsi="Courier New"/>
                <w:b/>
                <w:bCs/>
                <w:color w:val="4A7A2A"/>
                <w:sz w:val="18"/>
                <w:szCs w:val="18"/>
              </w:rPr>
              <w:t xml:space="preserve">Ben</w:t>
            </w:r>
          </w:p>
        </w:tc>
        <w:tc>
          <w:tcPr>
            <w:tcW w:type="dxa" w:w="8026"/>
            <w:tcBorders>
              <w:top w:val="single" w:color="D2DCE8" w:sz="4"/>
              <w:left w:val="none" w:color="FFFFFF" w:sz="0"/>
              <w:bottom w:val="single" w:color="D2DCE8" w:sz="4"/>
              <w:right w:val="none" w:color="FFFFFF" w:sz="0"/>
            </w:tcBorders>
            <w:shd w:fill="FFFFFF" w:val="clear"/>
            <w:tcMar>
              <w:top w:type="dxa" w:w="80"/>
              <w:left w:type="dxa" w:w="0"/>
              <w:bottom w:type="dxa" w:w="80"/>
              <w:right w:type="dxa" w:w="0"/>
            </w:tcMar>
          </w:tcPr>
          <w:p>
            <w:r>
              <w:rPr>
                <w:rFonts w:ascii="Arial" w:cs="Arial" w:eastAsia="Arial" w:hAnsi="Arial"/>
                <w:b w:val="false"/>
                <w:bCs w:val="false"/>
                <w:color w:val="1B1E2D"/>
                <w:sz w:val="22"/>
                <w:szCs w:val="22"/>
              </w:rPr>
              <w:t xml:space="preserve">I work best when I have a lot going on at once. I had three assignments due this week and I worked on all of them simultaneously. I'm a good multitasker — always have been.</w:t>
            </w:r>
          </w:p>
        </w:tc>
      </w:tr>
      <w:tr>
        <w:tc>
          <w:tcPr>
            <w:tcW w:type="dxa" w:w="1000"/>
            <w:tcBorders>
              <w:top w:val="none" w:color="FFFFFF" w:sz="0"/>
              <w:left w:val="none" w:color="FFFFFF" w:sz="0"/>
              <w:bottom w:val="none" w:color="FFFFFF" w:sz="0"/>
              <w:right w:val="none" w:color="FFFFFF" w:sz="0"/>
            </w:tcBorders>
            <w:shd w:fill="F0F4ED" w:val="clear"/>
            <w:tcMar>
              <w:top w:type="dxa" w:w="80"/>
              <w:left w:type="dxa" w:w="0"/>
              <w:bottom w:type="dxa" w:w="80"/>
              <w:right w:type="dxa" w:w="100"/>
            </w:tcMar>
          </w:tcPr>
          <w:p>
            <w:r>
              <w:rPr>
                <w:rFonts w:ascii="Courier New" w:cs="Courier New" w:eastAsia="Courier New" w:hAnsi="Courier New"/>
                <w:b/>
                <w:bCs/>
                <w:color w:val="4A7A2A"/>
                <w:sz w:val="18"/>
                <w:szCs w:val="18"/>
              </w:rPr>
              <w:t xml:space="preserve">Emma</w:t>
            </w:r>
          </w:p>
        </w:tc>
        <w:tc>
          <w:tcPr>
            <w:tcW w:type="dxa" w:w="8026"/>
            <w:tcBorders>
              <w:top w:val="single" w:color="D2DCE8" w:sz="4"/>
              <w:left w:val="none" w:color="FFFFFF" w:sz="0"/>
              <w:bottom w:val="single" w:color="D2DCE8" w:sz="4"/>
              <w:right w:val="none" w:color="FFFFFF" w:sz="0"/>
            </w:tcBorders>
            <w:shd w:fill="F0F4ED" w:val="clear"/>
            <w:tcMar>
              <w:top w:type="dxa" w:w="80"/>
              <w:left w:type="dxa" w:w="0"/>
              <w:bottom w:type="dxa" w:w="80"/>
              <w:right w:type="dxa" w:w="0"/>
            </w:tcMar>
          </w:tcPr>
          <w:p>
            <w:r>
              <w:rPr>
                <w:rFonts w:ascii="Arial" w:cs="Arial" w:eastAsia="Arial" w:hAnsi="Arial"/>
                <w:b w:val="false"/>
                <w:bCs w:val="false"/>
                <w:color w:val="1B1E2D"/>
                <w:sz w:val="22"/>
                <w:szCs w:val="22"/>
              </w:rPr>
              <w:t xml:space="preserve">How much did you get done?</w:t>
            </w:r>
          </w:p>
        </w:tc>
      </w:tr>
      <w:tr>
        <w:tc>
          <w:tcPr>
            <w:tcW w:type="dxa" w:w="1000"/>
            <w:tcBorders>
              <w:top w:val="none" w:color="FFFFFF" w:sz="0"/>
              <w:left w:val="none" w:color="FFFFFF" w:sz="0"/>
              <w:bottom w:val="none" w:color="FFFFFF" w:sz="0"/>
              <w:right w:val="none" w:color="FFFFFF" w:sz="0"/>
            </w:tcBorders>
            <w:shd w:fill="FFFFFF" w:val="clear"/>
            <w:tcMar>
              <w:top w:type="dxa" w:w="80"/>
              <w:left w:type="dxa" w:w="0"/>
              <w:bottom w:type="dxa" w:w="80"/>
              <w:right w:type="dxa" w:w="100"/>
            </w:tcMar>
          </w:tcPr>
          <w:p>
            <w:r>
              <w:rPr>
                <w:rFonts w:ascii="Courier New" w:cs="Courier New" w:eastAsia="Courier New" w:hAnsi="Courier New"/>
                <w:b/>
                <w:bCs/>
                <w:color w:val="4A7A2A"/>
                <w:sz w:val="18"/>
                <w:szCs w:val="18"/>
              </w:rPr>
              <w:t xml:space="preserve">Ben</w:t>
            </w:r>
          </w:p>
        </w:tc>
        <w:tc>
          <w:tcPr>
            <w:tcW w:type="dxa" w:w="8026"/>
            <w:tcBorders>
              <w:top w:val="single" w:color="D2DCE8" w:sz="4"/>
              <w:left w:val="none" w:color="FFFFFF" w:sz="0"/>
              <w:bottom w:val="single" w:color="D2DCE8" w:sz="4"/>
              <w:right w:val="none" w:color="FFFFFF" w:sz="0"/>
            </w:tcBorders>
            <w:shd w:fill="FFFFFF" w:val="clear"/>
            <w:tcMar>
              <w:top w:type="dxa" w:w="80"/>
              <w:left w:type="dxa" w:w="0"/>
              <w:bottom w:type="dxa" w:w="80"/>
              <w:right w:type="dxa" w:w="0"/>
            </w:tcMar>
          </w:tcPr>
          <w:p>
            <w:r>
              <w:rPr>
                <w:rFonts w:ascii="Arial" w:cs="Arial" w:eastAsia="Arial" w:hAnsi="Arial"/>
                <w:b w:val="false"/>
                <w:bCs w:val="false"/>
                <w:color w:val="1B1E2D"/>
                <w:sz w:val="22"/>
                <w:szCs w:val="22"/>
              </w:rPr>
              <w:t xml:space="preserve">I made progress on all three. Nothing's finished yet, but they're all moving forward.</w:t>
            </w:r>
          </w:p>
        </w:tc>
      </w:tr>
      <w:tr>
        <w:tc>
          <w:tcPr>
            <w:tcW w:type="dxa" w:w="1000"/>
            <w:tcBorders>
              <w:top w:val="none" w:color="FFFFFF" w:sz="0"/>
              <w:left w:val="none" w:color="FFFFFF" w:sz="0"/>
              <w:bottom w:val="none" w:color="FFFFFF" w:sz="0"/>
              <w:right w:val="none" w:color="FFFFFF" w:sz="0"/>
            </w:tcBorders>
            <w:shd w:fill="F0F4ED" w:val="clear"/>
            <w:tcMar>
              <w:top w:type="dxa" w:w="80"/>
              <w:left w:type="dxa" w:w="0"/>
              <w:bottom w:type="dxa" w:w="80"/>
              <w:right w:type="dxa" w:w="100"/>
            </w:tcMar>
          </w:tcPr>
          <w:p>
            <w:r>
              <w:rPr>
                <w:rFonts w:ascii="Courier New" w:cs="Courier New" w:eastAsia="Courier New" w:hAnsi="Courier New"/>
                <w:b/>
                <w:bCs/>
                <w:color w:val="4A7A2A"/>
                <w:sz w:val="18"/>
                <w:szCs w:val="18"/>
              </w:rPr>
              <w:t xml:space="preserve">Emma</w:t>
            </w:r>
          </w:p>
        </w:tc>
        <w:tc>
          <w:tcPr>
            <w:tcW w:type="dxa" w:w="8026"/>
            <w:tcBorders>
              <w:top w:val="single" w:color="D2DCE8" w:sz="4"/>
              <w:left w:val="none" w:color="FFFFFF" w:sz="0"/>
              <w:bottom w:val="single" w:color="D2DCE8" w:sz="4"/>
              <w:right w:val="none" w:color="FFFFFF" w:sz="0"/>
            </w:tcBorders>
            <w:shd w:fill="F0F4ED" w:val="clear"/>
            <w:tcMar>
              <w:top w:type="dxa" w:w="80"/>
              <w:left w:type="dxa" w:w="0"/>
              <w:bottom w:type="dxa" w:w="80"/>
              <w:right w:type="dxa" w:w="0"/>
            </w:tcMar>
          </w:tcPr>
          <w:p>
            <w:r>
              <w:rPr>
                <w:rFonts w:ascii="Arial" w:cs="Arial" w:eastAsia="Arial" w:hAnsi="Arial"/>
                <w:b w:val="false"/>
                <w:bCs w:val="false"/>
                <w:color w:val="1B1E2D"/>
                <w:sz w:val="22"/>
                <w:szCs w:val="22"/>
              </w:rPr>
              <w:t xml:space="preserve">How many hours did you work?</w:t>
            </w:r>
          </w:p>
        </w:tc>
      </w:tr>
      <w:tr>
        <w:tc>
          <w:tcPr>
            <w:tcW w:type="dxa" w:w="1000"/>
            <w:tcBorders>
              <w:top w:val="none" w:color="FFFFFF" w:sz="0"/>
              <w:left w:val="none" w:color="FFFFFF" w:sz="0"/>
              <w:bottom w:val="none" w:color="FFFFFF" w:sz="0"/>
              <w:right w:val="none" w:color="FFFFFF" w:sz="0"/>
            </w:tcBorders>
            <w:shd w:fill="FFFFFF" w:val="clear"/>
            <w:tcMar>
              <w:top w:type="dxa" w:w="80"/>
              <w:left w:type="dxa" w:w="0"/>
              <w:bottom w:type="dxa" w:w="80"/>
              <w:right w:type="dxa" w:w="100"/>
            </w:tcMar>
          </w:tcPr>
          <w:p>
            <w:r>
              <w:rPr>
                <w:rFonts w:ascii="Courier New" w:cs="Courier New" w:eastAsia="Courier New" w:hAnsi="Courier New"/>
                <w:b/>
                <w:bCs/>
                <w:color w:val="4A7A2A"/>
                <w:sz w:val="18"/>
                <w:szCs w:val="18"/>
              </w:rPr>
              <w:t xml:space="preserve">Ben</w:t>
            </w:r>
          </w:p>
        </w:tc>
        <w:tc>
          <w:tcPr>
            <w:tcW w:type="dxa" w:w="8026"/>
            <w:tcBorders>
              <w:top w:val="single" w:color="D2DCE8" w:sz="4"/>
              <w:left w:val="none" w:color="FFFFFF" w:sz="0"/>
              <w:bottom w:val="single" w:color="D2DCE8" w:sz="4"/>
              <w:right w:val="none" w:color="FFFFFF" w:sz="0"/>
            </w:tcBorders>
            <w:shd w:fill="FFFFFF" w:val="clear"/>
            <w:tcMar>
              <w:top w:type="dxa" w:w="80"/>
              <w:left w:type="dxa" w:w="0"/>
              <w:bottom w:type="dxa" w:w="80"/>
              <w:right w:type="dxa" w:w="0"/>
            </w:tcMar>
          </w:tcPr>
          <w:p>
            <w:r>
              <w:rPr>
                <w:rFonts w:ascii="Arial" w:cs="Arial" w:eastAsia="Arial" w:hAnsi="Arial"/>
                <w:b w:val="false"/>
                <w:bCs w:val="false"/>
                <w:color w:val="1B1E2D"/>
                <w:sz w:val="22"/>
                <w:szCs w:val="22"/>
              </w:rPr>
              <w:t xml:space="preserve">About fifteen hours over four days.</w:t>
            </w:r>
          </w:p>
        </w:tc>
      </w:tr>
      <w:tr>
        <w:tc>
          <w:tcPr>
            <w:tcW w:type="dxa" w:w="1000"/>
            <w:tcBorders>
              <w:top w:val="none" w:color="FFFFFF" w:sz="0"/>
              <w:left w:val="none" w:color="FFFFFF" w:sz="0"/>
              <w:bottom w:val="none" w:color="FFFFFF" w:sz="0"/>
              <w:right w:val="none" w:color="FFFFFF" w:sz="0"/>
            </w:tcBorders>
            <w:shd w:fill="F0F4ED" w:val="clear"/>
            <w:tcMar>
              <w:top w:type="dxa" w:w="80"/>
              <w:left w:type="dxa" w:w="0"/>
              <w:bottom w:type="dxa" w:w="80"/>
              <w:right w:type="dxa" w:w="100"/>
            </w:tcMar>
          </w:tcPr>
          <w:p>
            <w:r>
              <w:rPr>
                <w:rFonts w:ascii="Courier New" w:cs="Courier New" w:eastAsia="Courier New" w:hAnsi="Courier New"/>
                <w:b/>
                <w:bCs/>
                <w:color w:val="4A7A2A"/>
                <w:sz w:val="18"/>
                <w:szCs w:val="18"/>
              </w:rPr>
              <w:t xml:space="preserve">Emma</w:t>
            </w:r>
          </w:p>
        </w:tc>
        <w:tc>
          <w:tcPr>
            <w:tcW w:type="dxa" w:w="8026"/>
            <w:tcBorders>
              <w:top w:val="single" w:color="D2DCE8" w:sz="4"/>
              <w:left w:val="none" w:color="FFFFFF" w:sz="0"/>
              <w:bottom w:val="single" w:color="D2DCE8" w:sz="4"/>
              <w:right w:val="none" w:color="FFFFFF" w:sz="0"/>
            </w:tcBorders>
            <w:shd w:fill="F0F4ED" w:val="clear"/>
            <w:tcMar>
              <w:top w:type="dxa" w:w="80"/>
              <w:left w:type="dxa" w:w="0"/>
              <w:bottom w:type="dxa" w:w="80"/>
              <w:right w:type="dxa" w:w="0"/>
            </w:tcMar>
          </w:tcPr>
          <w:p>
            <w:r>
              <w:rPr>
                <w:rFonts w:ascii="Arial" w:cs="Arial" w:eastAsia="Arial" w:hAnsi="Arial"/>
                <w:b w:val="false"/>
                <w:bCs w:val="false"/>
                <w:color w:val="1B1E2D"/>
                <w:sz w:val="22"/>
                <w:szCs w:val="22"/>
              </w:rPr>
              <w:t xml:space="preserve">And how much of that was switching between tasks rather than being inside one of them?</w:t>
            </w:r>
          </w:p>
        </w:tc>
      </w:tr>
      <w:tr>
        <w:tc>
          <w:tcPr>
            <w:tcW w:type="dxa" w:w="1000"/>
            <w:tcBorders>
              <w:top w:val="none" w:color="FFFFFF" w:sz="0"/>
              <w:left w:val="none" w:color="FFFFFF" w:sz="0"/>
              <w:bottom w:val="none" w:color="FFFFFF" w:sz="0"/>
              <w:right w:val="none" w:color="FFFFFF" w:sz="0"/>
            </w:tcBorders>
            <w:shd w:fill="FFFFFF" w:val="clear"/>
            <w:tcMar>
              <w:top w:type="dxa" w:w="80"/>
              <w:left w:type="dxa" w:w="0"/>
              <w:bottom w:type="dxa" w:w="80"/>
              <w:right w:type="dxa" w:w="100"/>
            </w:tcMar>
          </w:tcPr>
          <w:p>
            <w:r>
              <w:rPr>
                <w:rFonts w:ascii="Courier New" w:cs="Courier New" w:eastAsia="Courier New" w:hAnsi="Courier New"/>
                <w:b/>
                <w:bCs/>
                <w:color w:val="4A7A2A"/>
                <w:sz w:val="18"/>
                <w:szCs w:val="18"/>
              </w:rPr>
              <w:t xml:space="preserve">Ben</w:t>
            </w:r>
          </w:p>
        </w:tc>
        <w:tc>
          <w:tcPr>
            <w:tcW w:type="dxa" w:w="8026"/>
            <w:tcBorders>
              <w:top w:val="single" w:color="D2DCE8" w:sz="4"/>
              <w:left w:val="none" w:color="FFFFFF" w:sz="0"/>
              <w:bottom w:val="single" w:color="D2DCE8" w:sz="4"/>
              <w:right w:val="none" w:color="FFFFFF" w:sz="0"/>
            </w:tcBorders>
            <w:shd w:fill="FFFFFF" w:val="clear"/>
            <w:tcMar>
              <w:top w:type="dxa" w:w="80"/>
              <w:left w:type="dxa" w:w="0"/>
              <w:bottom w:type="dxa" w:w="80"/>
              <w:right w:type="dxa" w:w="0"/>
            </w:tcMar>
          </w:tcPr>
          <w:p>
            <w:r>
              <w:rPr>
                <w:rFonts w:ascii="Arial" w:cs="Arial" w:eastAsia="Arial" w:hAnsi="Arial"/>
                <w:b w:val="false"/>
                <w:bCs w:val="false"/>
                <w:color w:val="1B1E2D"/>
                <w:sz w:val="22"/>
                <w:szCs w:val="22"/>
              </w:rPr>
              <w:t xml:space="preserve">I don't know. Some of it, I suppose.</w:t>
            </w:r>
          </w:p>
        </w:tc>
      </w:tr>
      <w:tr>
        <w:tc>
          <w:tcPr>
            <w:tcW w:type="dxa" w:w="1000"/>
            <w:tcBorders>
              <w:top w:val="none" w:color="FFFFFF" w:sz="0"/>
              <w:left w:val="none" w:color="FFFFFF" w:sz="0"/>
              <w:bottom w:val="none" w:color="FFFFFF" w:sz="0"/>
              <w:right w:val="none" w:color="FFFFFF" w:sz="0"/>
            </w:tcBorders>
            <w:shd w:fill="F0F4ED" w:val="clear"/>
            <w:tcMar>
              <w:top w:type="dxa" w:w="80"/>
              <w:left w:type="dxa" w:w="0"/>
              <w:bottom w:type="dxa" w:w="80"/>
              <w:right w:type="dxa" w:w="100"/>
            </w:tcMar>
          </w:tcPr>
          <w:p>
            <w:r>
              <w:rPr>
                <w:rFonts w:ascii="Courier New" w:cs="Courier New" w:eastAsia="Courier New" w:hAnsi="Courier New"/>
                <w:b/>
                <w:bCs/>
                <w:color w:val="4A7A2A"/>
                <w:sz w:val="18"/>
                <w:szCs w:val="18"/>
              </w:rPr>
              <w:t xml:space="preserve">Emma</w:t>
            </w:r>
          </w:p>
        </w:tc>
        <w:tc>
          <w:tcPr>
            <w:tcW w:type="dxa" w:w="8026"/>
            <w:tcBorders>
              <w:top w:val="single" w:color="D2DCE8" w:sz="4"/>
              <w:left w:val="none" w:color="FFFFFF" w:sz="0"/>
              <w:bottom w:val="single" w:color="D2DCE8" w:sz="4"/>
              <w:right w:val="none" w:color="FFFFFF" w:sz="0"/>
            </w:tcBorders>
            <w:shd w:fill="F0F4ED" w:val="clear"/>
            <w:tcMar>
              <w:top w:type="dxa" w:w="80"/>
              <w:left w:type="dxa" w:w="0"/>
              <w:bottom w:type="dxa" w:w="80"/>
              <w:right w:type="dxa" w:w="0"/>
            </w:tcMar>
          </w:tcPr>
          <w:p>
            <w:r>
              <w:rPr>
                <w:rFonts w:ascii="Arial" w:cs="Arial" w:eastAsia="Arial" w:hAnsi="Arial"/>
                <w:b w:val="false"/>
                <w:bCs w:val="false"/>
                <w:color w:val="1B1E2D"/>
                <w:sz w:val="22"/>
                <w:szCs w:val="22"/>
              </w:rPr>
              <w:t xml:space="preserve">Research suggests that switching itself costs around 15 to 20 seconds of re-engagement each time. If you switched tasks fifty times in fifteen hours — which seems conservative — that's twelve to sixteen minutes of pure switching cost. But that's not all. Every switch also depletes your capacity slightly. By the end of a switching-heavy day, your output per hour is significantly lower than at the start.</w:t>
            </w:r>
          </w:p>
        </w:tc>
      </w:tr>
      <w:tr>
        <w:tc>
          <w:tcPr>
            <w:tcW w:type="dxa" w:w="1000"/>
            <w:tcBorders>
              <w:top w:val="none" w:color="FFFFFF" w:sz="0"/>
              <w:left w:val="none" w:color="FFFFFF" w:sz="0"/>
              <w:bottom w:val="none" w:color="FFFFFF" w:sz="0"/>
              <w:right w:val="none" w:color="FFFFFF" w:sz="0"/>
            </w:tcBorders>
            <w:shd w:fill="FFFFFF" w:val="clear"/>
            <w:tcMar>
              <w:top w:type="dxa" w:w="80"/>
              <w:left w:type="dxa" w:w="0"/>
              <w:bottom w:type="dxa" w:w="80"/>
              <w:right w:type="dxa" w:w="100"/>
            </w:tcMar>
          </w:tcPr>
          <w:p>
            <w:r>
              <w:rPr>
                <w:rFonts w:ascii="Courier New" w:cs="Courier New" w:eastAsia="Courier New" w:hAnsi="Courier New"/>
                <w:b/>
                <w:bCs/>
                <w:color w:val="4A7A2A"/>
                <w:sz w:val="18"/>
                <w:szCs w:val="18"/>
              </w:rPr>
              <w:t xml:space="preserve">Ben</w:t>
            </w:r>
          </w:p>
        </w:tc>
        <w:tc>
          <w:tcPr>
            <w:tcW w:type="dxa" w:w="8026"/>
            <w:tcBorders>
              <w:top w:val="single" w:color="D2DCE8" w:sz="4"/>
              <w:left w:val="none" w:color="FFFFFF" w:sz="0"/>
              <w:bottom w:val="single" w:color="D2DCE8" w:sz="4"/>
              <w:right w:val="none" w:color="FFFFFF" w:sz="0"/>
            </w:tcBorders>
            <w:shd w:fill="FFFFFF" w:val="clear"/>
            <w:tcMar>
              <w:top w:type="dxa" w:w="80"/>
              <w:left w:type="dxa" w:w="0"/>
              <w:bottom w:type="dxa" w:w="80"/>
              <w:right w:type="dxa" w:w="0"/>
            </w:tcMar>
          </w:tcPr>
          <w:p>
            <w:r>
              <w:rPr>
                <w:rFonts w:ascii="Arial" w:cs="Arial" w:eastAsia="Arial" w:hAnsi="Arial"/>
                <w:b w:val="false"/>
                <w:bCs w:val="false"/>
                <w:color w:val="1B1E2D"/>
                <w:sz w:val="22"/>
                <w:szCs w:val="22"/>
              </w:rPr>
              <w:t xml:space="preserve">But I feel like I'm making progress on everything.</w:t>
            </w:r>
          </w:p>
        </w:tc>
      </w:tr>
      <w:tr>
        <w:tc>
          <w:tcPr>
            <w:tcW w:type="dxa" w:w="1000"/>
            <w:tcBorders>
              <w:top w:val="none" w:color="FFFFFF" w:sz="0"/>
              <w:left w:val="none" w:color="FFFFFF" w:sz="0"/>
              <w:bottom w:val="none" w:color="FFFFFF" w:sz="0"/>
              <w:right w:val="none" w:color="FFFFFF" w:sz="0"/>
            </w:tcBorders>
            <w:shd w:fill="F0F4ED" w:val="clear"/>
            <w:tcMar>
              <w:top w:type="dxa" w:w="80"/>
              <w:left w:type="dxa" w:w="0"/>
              <w:bottom w:type="dxa" w:w="80"/>
              <w:right w:type="dxa" w:w="100"/>
            </w:tcMar>
          </w:tcPr>
          <w:p>
            <w:r>
              <w:rPr>
                <w:rFonts w:ascii="Courier New" w:cs="Courier New" w:eastAsia="Courier New" w:hAnsi="Courier New"/>
                <w:b/>
                <w:bCs/>
                <w:color w:val="4A7A2A"/>
                <w:sz w:val="18"/>
                <w:szCs w:val="18"/>
              </w:rPr>
              <w:t xml:space="preserve">Emma</w:t>
            </w:r>
          </w:p>
        </w:tc>
        <w:tc>
          <w:tcPr>
            <w:tcW w:type="dxa" w:w="8026"/>
            <w:tcBorders>
              <w:top w:val="single" w:color="D2DCE8" w:sz="4"/>
              <w:left w:val="none" w:color="FFFFFF" w:sz="0"/>
              <w:bottom w:val="single" w:color="D2DCE8" w:sz="4"/>
              <w:right w:val="none" w:color="FFFFFF" w:sz="0"/>
            </w:tcBorders>
            <w:shd w:fill="F0F4ED" w:val="clear"/>
            <w:tcMar>
              <w:top w:type="dxa" w:w="80"/>
              <w:left w:type="dxa" w:w="0"/>
              <w:bottom w:type="dxa" w:w="80"/>
              <w:right w:type="dxa" w:w="0"/>
            </w:tcMar>
          </w:tcPr>
          <w:p>
            <w:r>
              <w:rPr>
                <w:rFonts w:ascii="Arial" w:cs="Arial" w:eastAsia="Arial" w:hAnsi="Arial"/>
                <w:b w:val="false"/>
                <w:bCs w:val="false"/>
                <w:color w:val="1B1E2D"/>
                <w:sz w:val="22"/>
                <w:szCs w:val="22"/>
              </w:rPr>
              <w:t xml:space="preserve">The feeling of progress is real. But the efficiency of that progress is the question. If you had worked sequentially — one task to completion, then the next — what do you think your output would look like compared to now?</w:t>
            </w:r>
          </w:p>
        </w:tc>
      </w:tr>
      <w:tr>
        <w:tc>
          <w:tcPr>
            <w:tcW w:type="dxa" w:w="1000"/>
            <w:tcBorders>
              <w:top w:val="none" w:color="FFFFFF" w:sz="0"/>
              <w:left w:val="none" w:color="FFFFFF" w:sz="0"/>
              <w:bottom w:val="none" w:color="FFFFFF" w:sz="0"/>
              <w:right w:val="none" w:color="FFFFFF" w:sz="0"/>
            </w:tcBorders>
            <w:shd w:fill="FFFFFF" w:val="clear"/>
            <w:tcMar>
              <w:top w:type="dxa" w:w="80"/>
              <w:left w:type="dxa" w:w="0"/>
              <w:bottom w:type="dxa" w:w="80"/>
              <w:right w:type="dxa" w:w="100"/>
            </w:tcMar>
          </w:tcPr>
          <w:p>
            <w:r>
              <w:rPr>
                <w:rFonts w:ascii="Courier New" w:cs="Courier New" w:eastAsia="Courier New" w:hAnsi="Courier New"/>
                <w:b/>
                <w:bCs/>
                <w:color w:val="4A7A2A"/>
                <w:sz w:val="18"/>
                <w:szCs w:val="18"/>
              </w:rPr>
              <w:t xml:space="preserve">Ben</w:t>
            </w:r>
          </w:p>
        </w:tc>
        <w:tc>
          <w:tcPr>
            <w:tcW w:type="dxa" w:w="8026"/>
            <w:tcBorders>
              <w:top w:val="single" w:color="D2DCE8" w:sz="4"/>
              <w:left w:val="none" w:color="FFFFFF" w:sz="0"/>
              <w:bottom w:val="single" w:color="D2DCE8" w:sz="4"/>
              <w:right w:val="none" w:color="FFFFFF" w:sz="0"/>
            </w:tcBorders>
            <w:shd w:fill="FFFFFF" w:val="clear"/>
            <w:tcMar>
              <w:top w:type="dxa" w:w="80"/>
              <w:left w:type="dxa" w:w="0"/>
              <w:bottom w:type="dxa" w:w="80"/>
              <w:right w:type="dxa" w:w="0"/>
            </w:tcMar>
          </w:tcPr>
          <w:p>
            <w:r>
              <w:rPr>
                <w:rFonts w:ascii="Arial" w:cs="Arial" w:eastAsia="Arial" w:hAnsi="Arial"/>
                <w:b w:val="false"/>
                <w:bCs w:val="false"/>
                <w:color w:val="1B1E2D"/>
                <w:sz w:val="22"/>
                <w:szCs w:val="22"/>
              </w:rPr>
              <w:t xml:space="preserve">Probably better. I'd have one finished thing instead of three unfinished ones.</w:t>
            </w:r>
          </w:p>
        </w:tc>
      </w:tr>
      <w:tr>
        <w:tc>
          <w:tcPr>
            <w:tcW w:type="dxa" w:w="1000"/>
            <w:tcBorders>
              <w:top w:val="none" w:color="FFFFFF" w:sz="0"/>
              <w:left w:val="none" w:color="FFFFFF" w:sz="0"/>
              <w:bottom w:val="none" w:color="FFFFFF" w:sz="0"/>
              <w:right w:val="none" w:color="FFFFFF" w:sz="0"/>
            </w:tcBorders>
            <w:shd w:fill="F0F4ED" w:val="clear"/>
            <w:tcMar>
              <w:top w:type="dxa" w:w="80"/>
              <w:left w:type="dxa" w:w="0"/>
              <w:bottom w:type="dxa" w:w="80"/>
              <w:right w:type="dxa" w:w="100"/>
            </w:tcMar>
          </w:tcPr>
          <w:p>
            <w:r>
              <w:rPr>
                <w:rFonts w:ascii="Courier New" w:cs="Courier New" w:eastAsia="Courier New" w:hAnsi="Courier New"/>
                <w:b/>
                <w:bCs/>
                <w:color w:val="4A7A2A"/>
                <w:sz w:val="18"/>
                <w:szCs w:val="18"/>
              </w:rPr>
              <w:t xml:space="preserve">Emma</w:t>
            </w:r>
          </w:p>
        </w:tc>
        <w:tc>
          <w:tcPr>
            <w:tcW w:type="dxa" w:w="8026"/>
            <w:tcBorders>
              <w:top w:val="single" w:color="D2DCE8" w:sz="4"/>
              <w:left w:val="none" w:color="FFFFFF" w:sz="0"/>
              <w:bottom w:val="single" w:color="D2DCE8" w:sz="4"/>
              <w:right w:val="none" w:color="FFFFFF" w:sz="0"/>
            </w:tcBorders>
            <w:shd w:fill="F0F4ED" w:val="clear"/>
            <w:tcMar>
              <w:top w:type="dxa" w:w="80"/>
              <w:left w:type="dxa" w:w="0"/>
              <w:bottom w:type="dxa" w:w="80"/>
              <w:right w:type="dxa" w:w="0"/>
            </w:tcMar>
          </w:tcPr>
          <w:p>
            <w:r>
              <w:rPr>
                <w:rFonts w:ascii="Arial" w:cs="Arial" w:eastAsia="Arial" w:hAnsi="Arial"/>
                <w:b w:val="false"/>
                <w:bCs w:val="false"/>
                <w:color w:val="1B1E2D"/>
                <w:sz w:val="22"/>
                <w:szCs w:val="22"/>
              </w:rPr>
              <w:t xml:space="preserve">And you'd have less cognitive fatigue, which means better quality on the remaining two.</w:t>
            </w:r>
          </w:p>
        </w:tc>
      </w:tr>
      <w:tr>
        <w:tc>
          <w:tcPr>
            <w:tcW w:type="dxa" w:w="1000"/>
            <w:tcBorders>
              <w:top w:val="none" w:color="FFFFFF" w:sz="0"/>
              <w:left w:val="none" w:color="FFFFFF" w:sz="0"/>
              <w:bottom w:val="none" w:color="FFFFFF" w:sz="0"/>
              <w:right w:val="none" w:color="FFFFFF" w:sz="0"/>
            </w:tcBorders>
            <w:shd w:fill="FFFFFF" w:val="clear"/>
            <w:tcMar>
              <w:top w:type="dxa" w:w="80"/>
              <w:left w:type="dxa" w:w="0"/>
              <w:bottom w:type="dxa" w:w="80"/>
              <w:right w:type="dxa" w:w="100"/>
            </w:tcMar>
          </w:tcPr>
          <w:p>
            <w:r>
              <w:rPr>
                <w:rFonts w:ascii="Courier New" w:cs="Courier New" w:eastAsia="Courier New" w:hAnsi="Courier New"/>
                <w:b/>
                <w:bCs/>
                <w:color w:val="4A7A2A"/>
                <w:sz w:val="18"/>
                <w:szCs w:val="18"/>
              </w:rPr>
              <w:t xml:space="preserve">Ben</w:t>
            </w:r>
          </w:p>
        </w:tc>
        <w:tc>
          <w:tcPr>
            <w:tcW w:type="dxa" w:w="8026"/>
            <w:tcBorders>
              <w:top w:val="single" w:color="D2DCE8" w:sz="4"/>
              <w:left w:val="none" w:color="FFFFFF" w:sz="0"/>
              <w:bottom w:val="single" w:color="D2DCE8" w:sz="4"/>
              <w:right w:val="none" w:color="FFFFFF" w:sz="0"/>
            </w:tcBorders>
            <w:shd w:fill="FFFFFF" w:val="clear"/>
            <w:tcMar>
              <w:top w:type="dxa" w:w="80"/>
              <w:left w:type="dxa" w:w="0"/>
              <w:bottom w:type="dxa" w:w="80"/>
              <w:right w:type="dxa" w:w="0"/>
            </w:tcMar>
          </w:tcPr>
          <w:p>
            <w:r>
              <w:rPr>
                <w:rFonts w:ascii="Arial" w:cs="Arial" w:eastAsia="Arial" w:hAnsi="Arial"/>
                <w:b w:val="false"/>
                <w:bCs w:val="false"/>
                <w:color w:val="1B1E2D"/>
                <w:sz w:val="22"/>
                <w:szCs w:val="22"/>
              </w:rPr>
              <w:t xml:space="preserve">Had I prioritised one task and finished it first, I'd probably be less stressed right now.</w:t>
            </w:r>
          </w:p>
        </w:tc>
      </w:tr>
      <w:tr>
        <w:tc>
          <w:tcPr>
            <w:tcW w:type="dxa" w:w="1000"/>
            <w:tcBorders>
              <w:top w:val="none" w:color="FFFFFF" w:sz="0"/>
              <w:left w:val="none" w:color="FFFFFF" w:sz="0"/>
              <w:bottom w:val="none" w:color="FFFFFF" w:sz="0"/>
              <w:right w:val="none" w:color="FFFFFF" w:sz="0"/>
            </w:tcBorders>
            <w:shd w:fill="F0F4ED" w:val="clear"/>
            <w:tcMar>
              <w:top w:type="dxa" w:w="80"/>
              <w:left w:type="dxa" w:w="0"/>
              <w:bottom w:type="dxa" w:w="80"/>
              <w:right w:type="dxa" w:w="100"/>
            </w:tcMar>
          </w:tcPr>
          <w:p>
            <w:r>
              <w:rPr>
                <w:rFonts w:ascii="Courier New" w:cs="Courier New" w:eastAsia="Courier New" w:hAnsi="Courier New"/>
                <w:b/>
                <w:bCs/>
                <w:color w:val="4A7A2A"/>
                <w:sz w:val="18"/>
                <w:szCs w:val="18"/>
              </w:rPr>
              <w:t xml:space="preserve">Emma</w:t>
            </w:r>
          </w:p>
        </w:tc>
        <w:tc>
          <w:tcPr>
            <w:tcW w:type="dxa" w:w="8026"/>
            <w:tcBorders>
              <w:top w:val="single" w:color="D2DCE8" w:sz="4"/>
              <w:left w:val="none" w:color="FFFFFF" w:sz="0"/>
              <w:bottom w:val="single" w:color="D2DCE8" w:sz="4"/>
              <w:right w:val="none" w:color="FFFFFF" w:sz="0"/>
            </w:tcBorders>
            <w:shd w:fill="F0F4ED" w:val="clear"/>
            <w:tcMar>
              <w:top w:type="dxa" w:w="80"/>
              <w:left w:type="dxa" w:w="0"/>
              <w:bottom w:type="dxa" w:w="80"/>
              <w:right w:type="dxa" w:w="0"/>
            </w:tcMar>
          </w:tcPr>
          <w:p>
            <w:r>
              <w:rPr>
                <w:rFonts w:ascii="Arial" w:cs="Arial" w:eastAsia="Arial" w:hAnsi="Arial"/>
                <w:b w:val="false"/>
                <w:bCs w:val="false"/>
                <w:color w:val="1B1E2D"/>
                <w:sz w:val="22"/>
                <w:szCs w:val="22"/>
              </w:rPr>
              <w:t xml:space="preserve">Almost certainly. The multitasking is creating the illusion of efficiency while actually reducing it.</w:t>
            </w:r>
          </w:p>
        </w:tc>
      </w:tr>
      <w:tr>
        <w:tc>
          <w:tcPr>
            <w:tcW w:type="dxa" w:w="1000"/>
            <w:tcBorders>
              <w:top w:val="none" w:color="FFFFFF" w:sz="0"/>
              <w:left w:val="none" w:color="FFFFFF" w:sz="0"/>
              <w:bottom w:val="none" w:color="FFFFFF" w:sz="0"/>
              <w:right w:val="none" w:color="FFFFFF" w:sz="0"/>
            </w:tcBorders>
            <w:shd w:fill="FFFFFF" w:val="clear"/>
            <w:tcMar>
              <w:top w:type="dxa" w:w="80"/>
              <w:left w:type="dxa" w:w="0"/>
              <w:bottom w:type="dxa" w:w="80"/>
              <w:right w:type="dxa" w:w="100"/>
            </w:tcMar>
          </w:tcPr>
          <w:p>
            <w:r>
              <w:rPr>
                <w:rFonts w:ascii="Courier New" w:cs="Courier New" w:eastAsia="Courier New" w:hAnsi="Courier New"/>
                <w:b/>
                <w:bCs/>
                <w:color w:val="4A7A2A"/>
                <w:sz w:val="18"/>
                <w:szCs w:val="18"/>
              </w:rPr>
              <w:t xml:space="preserve">Ben</w:t>
            </w:r>
          </w:p>
        </w:tc>
        <w:tc>
          <w:tcPr>
            <w:tcW w:type="dxa" w:w="8026"/>
            <w:tcBorders>
              <w:top w:val="single" w:color="D2DCE8" w:sz="4"/>
              <w:left w:val="none" w:color="FFFFFF" w:sz="0"/>
              <w:bottom w:val="single" w:color="D2DCE8" w:sz="4"/>
              <w:right w:val="none" w:color="FFFFFF" w:sz="0"/>
            </w:tcBorders>
            <w:shd w:fill="FFFFFF" w:val="clear"/>
            <w:tcMar>
              <w:top w:type="dxa" w:w="80"/>
              <w:left w:type="dxa" w:w="0"/>
              <w:bottom w:type="dxa" w:w="80"/>
              <w:right w:type="dxa" w:w="0"/>
            </w:tcMar>
          </w:tcPr>
          <w:p>
            <w:r>
              <w:rPr>
                <w:rFonts w:ascii="Arial" w:cs="Arial" w:eastAsia="Arial" w:hAnsi="Arial"/>
                <w:b w:val="false"/>
                <w:bCs w:val="false"/>
                <w:color w:val="1B1E2D"/>
                <w:sz w:val="22"/>
                <w:szCs w:val="22"/>
              </w:rPr>
              <w:t xml:space="preserve">So it's not a skill — it's a habit I've mistaken for a skill.</w:t>
            </w:r>
          </w:p>
        </w:tc>
      </w:tr>
      <w:tr>
        <w:tc>
          <w:tcPr>
            <w:tcW w:type="dxa" w:w="1000"/>
            <w:tcBorders>
              <w:top w:val="none" w:color="FFFFFF" w:sz="0"/>
              <w:left w:val="none" w:color="FFFFFF" w:sz="0"/>
              <w:bottom w:val="none" w:color="FFFFFF" w:sz="0"/>
              <w:right w:val="none" w:color="FFFFFF" w:sz="0"/>
            </w:tcBorders>
            <w:shd w:fill="F0F4ED" w:val="clear"/>
            <w:tcMar>
              <w:top w:type="dxa" w:w="80"/>
              <w:left w:type="dxa" w:w="0"/>
              <w:bottom w:type="dxa" w:w="80"/>
              <w:right w:type="dxa" w:w="100"/>
            </w:tcMar>
          </w:tcPr>
          <w:p>
            <w:r>
              <w:rPr>
                <w:rFonts w:ascii="Courier New" w:cs="Courier New" w:eastAsia="Courier New" w:hAnsi="Courier New"/>
                <w:b/>
                <w:bCs/>
                <w:color w:val="4A7A2A"/>
                <w:sz w:val="18"/>
                <w:szCs w:val="18"/>
              </w:rPr>
              <w:t xml:space="preserve">Emma</w:t>
            </w:r>
          </w:p>
        </w:tc>
        <w:tc>
          <w:tcPr>
            <w:tcW w:type="dxa" w:w="8026"/>
            <w:tcBorders>
              <w:top w:val="single" w:color="D2DCE8" w:sz="4"/>
              <w:left w:val="none" w:color="FFFFFF" w:sz="0"/>
              <w:bottom w:val="single" w:color="D2DCE8" w:sz="4"/>
              <w:right w:val="none" w:color="FFFFFF" w:sz="0"/>
            </w:tcBorders>
            <w:shd w:fill="F0F4ED" w:val="clear"/>
            <w:tcMar>
              <w:top w:type="dxa" w:w="80"/>
              <w:left w:type="dxa" w:w="0"/>
              <w:bottom w:type="dxa" w:w="80"/>
              <w:right w:type="dxa" w:w="0"/>
            </w:tcMar>
          </w:tcPr>
          <w:p>
            <w:r>
              <w:rPr>
                <w:rFonts w:ascii="Arial" w:cs="Arial" w:eastAsia="Arial" w:hAnsi="Arial"/>
                <w:b w:val="false"/>
                <w:bCs w:val="false"/>
                <w:color w:val="1B1E2D"/>
                <w:sz w:val="22"/>
                <w:szCs w:val="22"/>
              </w:rPr>
              <w:t xml:space="preserve">That's a very precise way of putting it.</w:t>
            </w:r>
          </w:p>
        </w:tc>
      </w:tr>
    </w:tbl>
    <w:p>
      <w:pPr>
        <w:spacing w:after="200" w:before="0"/>
      </w:pPr>
      <w:r>
        <w:t xml:space="preserve"/>
      </w:r>
    </w:p>
    <w:p>
      <w:pPr>
        <w:pBdr>
          <w:bottom w:val="single" w:color="2A4A1A" w:sz="12"/>
        </w:pBdr>
        <w:spacing w:after="100" w:before="260"/>
      </w:pPr>
      <w:r>
        <w:rPr>
          <w:rFonts w:ascii="Georgia" w:cs="Georgia" w:eastAsia="Georgia" w:hAnsi="Georgia"/>
          <w:b/>
          <w:bCs/>
          <w:color w:val="2A4A1A"/>
          <w:sz w:val="28"/>
          <w:szCs w:val="28"/>
        </w:rPr>
        <w:t xml:space="preserve">Answer Key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E8F0E3" w:val="clear"/>
            <w:tcMar>
              <w:top w:type="dxa" w:w="140"/>
              <w:left w:type="dxa" w:w="200"/>
              <w:bottom w:type="dxa" w:w="140"/>
              <w:right w:type="dxa" w:w="200"/>
            </w:tcMar>
            <w:vAlign w:val="top"/>
          </w:tcPr>
          <w:p>
            <w:pPr>
              <w:spacing w:after="20" w:before="40"/>
            </w:pPr>
            <w:r>
              <w:rPr>
                <w:rFonts w:ascii="Arial" w:cs="Arial" w:eastAsia="Arial" w:hAnsi="Arial"/>
                <w:b/>
                <w:bCs/>
                <w:color w:val="080F05"/>
                <w:sz w:val="20"/>
                <w:szCs w:val="20"/>
              </w:rPr>
              <w:t xml:space="preserve">H1 Task A:</w:t>
            </w:r>
            <w:r>
              <w:rPr>
                <w:rFonts w:ascii="Arial" w:cs="Arial" w:eastAsia="Arial" w:hAnsi="Arial"/>
                <w:b w:val="false"/>
                <w:bCs w:val="false"/>
                <w:color w:val="1B1E2D"/>
                <w:sz w:val="20"/>
                <w:szCs w:val="20"/>
              </w:rPr>
              <w:t xml:space="preserve">  1–f  2–i  3–a  4–h  5–c  6–j  7–d  8–b  9–g  10–e</w:t>
            </w:r>
          </w:p>
          <w:p>
            <w:pPr>
              <w:spacing w:after="20" w:before="40"/>
            </w:pPr>
            <w:r>
              <w:rPr>
                <w:rFonts w:ascii="Arial" w:cs="Arial" w:eastAsia="Arial" w:hAnsi="Arial"/>
                <w:b/>
                <w:bCs/>
                <w:color w:val="080F05"/>
                <w:sz w:val="20"/>
                <w:szCs w:val="20"/>
              </w:rPr>
              <w:t xml:space="preserve">H2 Ex 1:</w:t>
            </w:r>
            <w:r>
              <w:rPr>
                <w:rFonts w:ascii="Arial" w:cs="Arial" w:eastAsia="Arial" w:hAnsi="Arial"/>
                <w:b w:val="false"/>
                <w:bCs w:val="false"/>
                <w:color w:val="1B1E2D"/>
                <w:sz w:val="20"/>
                <w:szCs w:val="20"/>
              </w:rPr>
              <w:t xml:space="preserve">  1. Had he worked sequentially from the start, he would be in a much stronger position now. (Type A)  2. Were he less susceptible to distraction, he would have completed the task in half the time. (Type B)  3. Had Ben prioritised one task and finished it, he would be less stressed right now. (Type A)  4. Were she more aware of switch cost, she would have structured her sessions very differently. (Type B)</w:t>
            </w:r>
          </w:p>
          <w:p>
            <w:pPr>
              <w:spacing w:after="20" w:before="40"/>
            </w:pPr>
            <w:r>
              <w:rPr>
                <w:rFonts w:ascii="Arial" w:cs="Arial" w:eastAsia="Arial" w:hAnsi="Arial"/>
                <w:b/>
                <w:bCs/>
                <w:color w:val="080F05"/>
                <w:sz w:val="20"/>
                <w:szCs w:val="20"/>
              </w:rPr>
              <w:t xml:space="preserve">H3 Q1:</w:t>
            </w:r>
            <w:r>
              <w:rPr>
                <w:rFonts w:ascii="Arial" w:cs="Arial" w:eastAsia="Arial" w:hAnsi="Arial"/>
                <w:b w:val="false"/>
                <w:bCs w:val="false"/>
                <w:color w:val="1B1E2D"/>
                <w:sz w:val="20"/>
                <w:szCs w:val="20"/>
              </w:rPr>
              <w:t xml:space="preserve">  The brain's executive control system can only fully allocate attention to one cognitively demanding task at a time. "Multitasking" is actually rapid sequential switching — each switch carries a cost in time and accuracy. True simultaneity is an illusion: fast alternation produces the subjective feeling of parallel processing.</w:t>
            </w:r>
          </w:p>
          <w:p>
            <w:pPr>
              <w:spacing w:after="20" w:before="40"/>
            </w:pPr>
            <w:r>
              <w:rPr>
                <w:rFonts w:ascii="Arial" w:cs="Arial" w:eastAsia="Arial" w:hAnsi="Arial"/>
                <w:b/>
                <w:bCs/>
                <w:color w:val="080F05"/>
                <w:sz w:val="20"/>
                <w:szCs w:val="20"/>
              </w:rPr>
              <w:t xml:space="preserve">H3 Q2:</w:t>
            </w:r>
            <w:r>
              <w:rPr>
                <w:rFonts w:ascii="Arial" w:cs="Arial" w:eastAsia="Arial" w:hAnsi="Arial"/>
                <w:b w:val="false"/>
                <w:bCs w:val="false"/>
                <w:color w:val="1B1E2D"/>
                <w:sz w:val="20"/>
                <w:szCs w:val="20"/>
              </w:rPr>
              <w:t xml:space="preserve">  Switch cost = time and cognitive resources required to disengage from one task and re-engage with the next. Cumulative effect over a working session: 50 switches × 15–20 seconds = 12–17 minutes of pure switching cost, plus reduced output quality after each interruption.</w:t>
            </w:r>
          </w:p>
          <w:p>
            <w:pPr>
              <w:spacing w:after="20" w:before="40"/>
            </w:pPr>
            <w:r>
              <w:rPr>
                <w:rFonts w:ascii="Arial" w:cs="Arial" w:eastAsia="Arial" w:hAnsi="Arial"/>
                <w:b/>
                <w:bCs/>
                <w:color w:val="080F05"/>
                <w:sz w:val="20"/>
                <w:szCs w:val="20"/>
              </w:rPr>
              <w:t xml:space="preserve">H3 Q3:</w:t>
            </w:r>
            <w:r>
              <w:rPr>
                <w:rFonts w:ascii="Arial" w:cs="Arial" w:eastAsia="Arial" w:hAnsi="Arial"/>
                <w:b w:val="false"/>
                <w:bCs w:val="false"/>
                <w:color w:val="1B1E2D"/>
                <w:sz w:val="20"/>
                <w:szCs w:val="20"/>
              </w:rPr>
              <w:t xml:space="preserve">  The essay does not argue never to multitask. Some tasks (automatic/routine) can be genuinely combined. The problem is specific to tasks that both require executive control. The claim is about awareness of cost, not prohibition.</w:t>
            </w:r>
          </w:p>
          <w:p>
            <w:pPr>
              <w:spacing w:after="20" w:before="40"/>
            </w:pPr>
            <w:r>
              <w:rPr>
                <w:rFonts w:ascii="Arial" w:cs="Arial" w:eastAsia="Arial" w:hAnsi="Arial"/>
                <w:b/>
                <w:bCs/>
                <w:color w:val="080F05"/>
                <w:sz w:val="20"/>
                <w:szCs w:val="20"/>
              </w:rPr>
              <w:t xml:space="preserve">H3 Q4:</w:t>
            </w:r>
            <w:r>
              <w:rPr>
                <w:rFonts w:ascii="Arial" w:cs="Arial" w:eastAsia="Arial" w:hAnsi="Arial"/>
                <w:b w:val="false"/>
                <w:bCs w:val="false"/>
                <w:color w:val="1B1E2D"/>
                <w:sz w:val="20"/>
                <w:szCs w:val="20"/>
              </w:rPr>
              <w:t xml:space="preserve">  "If workers were fully aware of the switch cost they incur each time they move between tasks, they would likely structure their time very differently." Type B — standard form, no inversion.</w:t>
            </w:r>
          </w:p>
          <w:p>
            <w:pPr>
              <w:spacing w:after="20" w:before="40"/>
            </w:pPr>
            <w:r>
              <w:rPr>
                <w:rFonts w:ascii="Arial" w:cs="Arial" w:eastAsia="Arial" w:hAnsi="Arial"/>
                <w:b/>
                <w:bCs/>
                <w:color w:val="080F05"/>
                <w:sz w:val="20"/>
                <w:szCs w:val="20"/>
              </w:rPr>
              <w:t xml:space="preserve">H4 Gap Fill:</w:t>
            </w:r>
            <w:r>
              <w:rPr>
                <w:rFonts w:ascii="Arial" w:cs="Arial" w:eastAsia="Arial" w:hAnsi="Arial"/>
                <w:b w:val="false"/>
                <w:bCs w:val="false"/>
                <w:color w:val="1B1E2D"/>
                <w:sz w:val="20"/>
                <w:szCs w:val="20"/>
              </w:rPr>
              <w:t xml:space="preserve">  1. simultaneous  2. switch cost  3. capacity  4. sequential  5. illusion</w:t>
            </w:r>
          </w:p>
          <w:p>
            <w:pPr>
              <w:spacing w:after="20" w:before="40"/>
            </w:pPr>
            <w:r>
              <w:rPr>
                <w:rFonts w:ascii="Arial" w:cs="Arial" w:eastAsia="Arial" w:hAnsi="Arial"/>
                <w:b/>
                <w:bCs/>
                <w:color w:val="080F05"/>
                <w:sz w:val="20"/>
                <w:szCs w:val="20"/>
              </w:rPr>
              <w:t xml:space="preserve">H4 Analysis 1:</w:t>
            </w:r>
            <w:r>
              <w:rPr>
                <w:rFonts w:ascii="Arial" w:cs="Arial" w:eastAsia="Arial" w:hAnsi="Arial"/>
                <w:b w:val="false"/>
                <w:bCs w:val="false"/>
                <w:color w:val="1B1E2D"/>
                <w:sz w:val="20"/>
                <w:szCs w:val="20"/>
              </w:rPr>
              <w:t xml:space="preserve">  (1) Three assignments unfinished after 15 hours — disproportionate to time invested. (2) Estimated 12–16 minutes of pure switching cost at 50 switches. (3) Cumulative depletion means lower output per hour by the end of the session.</w:t>
            </w:r>
          </w:p>
          <w:p>
            <w:pPr>
              <w:spacing w:after="20" w:before="40"/>
            </w:pPr>
            <w:r>
              <w:rPr>
                <w:rFonts w:ascii="Arial" w:cs="Arial" w:eastAsia="Arial" w:hAnsi="Arial"/>
                <w:b/>
                <w:bCs/>
                <w:color w:val="080F05"/>
                <w:sz w:val="20"/>
                <w:szCs w:val="20"/>
              </w:rPr>
              <w:t xml:space="preserve">H4 Analysis 2:</w:t>
            </w:r>
            <w:r>
              <w:rPr>
                <w:rFonts w:ascii="Arial" w:cs="Arial" w:eastAsia="Arial" w:hAnsi="Arial"/>
                <w:b w:val="false"/>
                <w:bCs w:val="false"/>
                <w:color w:val="1B1E2D"/>
                <w:sz w:val="20"/>
                <w:szCs w:val="20"/>
              </w:rPr>
              <w:t xml:space="preserve">  "Had I prioritised one task and finished it first, I'd probably be less stressed right now." Type A inversion — Ben is diagnosing his own strategy retrospectively, recognising the cost in real time.</w:t>
            </w:r>
          </w:p>
        </w:tc>
      </w:tr>
    </w:tbl>
    <w:p>
      <w:pPr>
        <w:spacing w:after="300" w:before="0"/>
      </w:pPr>
      <w:r>
        <w:t xml:space="preserve"/>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B1E2D"/>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2026-05-04T07:23:17.652Z</dcterms:created>
  <dcterms:modified xsi:type="dcterms:W3CDTF">2026-05-04T07:23:17.653Z</dcterms:modified>
</cp:coreProperties>
</file>

<file path=docProps/custom.xml><?xml version="1.0" encoding="utf-8"?>
<Properties xmlns="http://schemas.openxmlformats.org/officeDocument/2006/custom-properties" xmlns:vt="http://schemas.openxmlformats.org/officeDocument/2006/docPropsVTypes"/>
</file>