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FFFFFF" w:sz="0"/>
          <w:left w:val="none" w:color="FFFFFF" w:sz="0"/>
          <w:bottom w:val="single" w:color="1F5C56" w:sz="24"/>
          <w:right w:val="none" w:color="FFFFFF" w:sz="0"/>
          <w:insideH w:val="single" w:color="auto" w:sz="4"/>
          <w:insideV w:val="single" w:color="auto" w:sz="4"/>
        </w:tblBorders>
      </w:tblPr>
      <w:tblGrid>
        <w:gridCol w:w="100"/>
      </w:tblGrid>
      <w:tr>
        <w:trPr>
          <w:cantSplit/>
        </w:trPr>
        <w:tc>
          <w:tcPr>
            <w:shd w:fill="DCEAE8" w:val="clear"/>
            <w:tcMar>
              <w:top w:type="dxa" w:w="260"/>
              <w:left w:type="dxa" w:w="300"/>
              <w:bottom w:type="dxa" w:w="260"/>
              <w:right w:type="dxa" w:w="300"/>
            </w:tcMar>
          </w:tcPr>
          <w:p>
            <w:r>
              <w:rPr>
                <w:b/>
                <w:bCs/>
                <w:color w:val="0F332F"/>
                <w:sz w:val="18"/>
                <w:szCs w:val="18"/>
              </w:rPr>
              <w:t xml:space="preserve">AMAZING ANIMALS SERIES · TEACHER PLAN</w:t>
            </w:r>
          </w:p>
          <w:p>
            <w:pPr>
              <w:spacing w:before="60"/>
            </w:pPr>
            <w:r>
              <w:rPr>
                <w:b/>
                <w:bCs/>
                <w:i/>
                <w:iCs/>
                <w:color w:val="0F332F"/>
                <w:sz w:val="40"/>
                <w:szCs w:val="40"/>
              </w:rPr>
              <w:t xml:space="preserve">Not Only Did Alex Count…</w:t>
            </w:r>
          </w:p>
          <w:p>
            <w:pPr>
              <w:spacing w:before="40"/>
            </w:pPr>
            <w:r>
              <w:rPr>
                <w:color w:val="3D4A5C"/>
                <w:sz w:val="20"/>
                <w:szCs w:val="20"/>
              </w:rPr>
              <w:t xml:space="preserve">What Thirty Years of Testing Actually Showed — B2–C1 · 90 min</w:t>
            </w:r>
          </w:p>
        </w:tc>
      </w:tr>
    </w:tbl>
    <w:p>
      <w:pPr>
        <w:spacing w:after="100"/>
      </w:pPr>
    </w:p>
    <w:p>
      <w:pPr>
        <w:pBdr>
          <w:bottom w:val="single" w:color="1F5C56" w:sz="14"/>
        </w:pBdr>
        <w:spacing w:after="140" w:before="260"/>
      </w:pPr>
      <w:r>
        <w:rPr>
          <w:b/>
          <w:bCs/>
          <w:i/>
          <w:iCs/>
          <w:color w:val="1F5C56"/>
          <w:sz w:val="30"/>
          <w:szCs w:val="30"/>
        </w:rPr>
        <w:t xml:space="preserve">Lesson Overview</w:t>
      </w:r>
    </w:p>
    <w:tbl>
      <w:tblPr>
        <w:tblW w:type="pct" w:w="100%"/>
        <w:tblBorders>
          <w:top w:val="single" w:color="A69686" w:sz="4"/>
          <w:left w:val="single" w:color="A69686" w:sz="4"/>
          <w:bottom w:val="single" w:color="A69686" w:sz="4"/>
          <w:right w:val="single" w:color="A69686" w:sz="4"/>
          <w:insideH w:val="single" w:color="A69686" w:sz="4"/>
          <w:insideV w:val="single" w:color="A69686" w:sz="4"/>
        </w:tblBorders>
        <w:tblLayout w:type="fixed"/>
      </w:tblPr>
      <w:tblGrid>
        <w:gridCol w:w="2200"/>
        <w:gridCol w:w="7800"/>
      </w:tblGrid>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Topic</w:t>
            </w:r>
          </w:p>
        </w:tc>
        <w:tc>
          <w:tcPr>
            <w:tcW w:type="dxa" w:w="7800"/>
            <w:tcMar>
              <w:top w:type="dxa" w:w="100"/>
              <w:left w:type="dxa" w:w="140"/>
              <w:bottom w:type="dxa" w:w="100"/>
              <w:right w:type="dxa" w:w="140"/>
            </w:tcMar>
          </w:tcPr>
          <w:p>
            <w:pPr>
              <w:spacing w:after="120" w:before="0" w:line="320" w:lineRule="auto"/>
            </w:pPr>
            <w:r>
              <w:rPr>
                <w:sz w:val="22"/>
                <w:szCs w:val="22"/>
              </w:rPr>
              <w:t xml:space="preserve">Alex, an African grey parrot studied for thirty years by Dr Irene Pepperberg, who learned to identify colours, shapes, and small quantities, and used words functionally rather than through simple mimicry. Examined against a genuine, ongoing scientific dispute: does this reflect real comprehension, or highly sophisticated associative learning?</w:t>
            </w:r>
          </w:p>
        </w:tc>
      </w:tr>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Central question</w:t>
            </w:r>
          </w:p>
        </w:tc>
        <w:tc>
          <w:tcPr>
            <w:tcW w:type="dxa" w:w="7800"/>
            <w:tcMar>
              <w:top w:type="dxa" w:w="100"/>
              <w:left w:type="dxa" w:w="140"/>
              <w:bottom w:type="dxa" w:w="100"/>
              <w:right w:type="dxa" w:w="140"/>
            </w:tcMar>
          </w:tcPr>
          <w:p>
            <w:pPr>
              <w:spacing w:after="120" w:before="0" w:line="320" w:lineRule="auto"/>
            </w:pPr>
            <w:r>
              <w:rPr>
                <w:sz w:val="22"/>
                <w:szCs w:val="22"/>
              </w:rPr>
              <w:t xml:space="preserve">“What would actually distinguish an animal that understands words from one that has simply learned, very well, which sounds produce which results?”</w:t>
            </w:r>
          </w:p>
        </w:tc>
      </w:tr>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Level</w:t>
            </w:r>
          </w:p>
        </w:tc>
        <w:tc>
          <w:tcPr>
            <w:tcW w:type="dxa" w:w="7800"/>
            <w:tcMar>
              <w:top w:type="dxa" w:w="100"/>
              <w:left w:type="dxa" w:w="140"/>
              <w:bottom w:type="dxa" w:w="100"/>
              <w:right w:type="dxa" w:w="140"/>
            </w:tcMar>
          </w:tcPr>
          <w:p>
            <w:pPr>
              <w:spacing w:after="120" w:before="0" w:line="320" w:lineRule="auto"/>
            </w:pPr>
            <w:r>
              <w:rPr>
                <w:sz w:val="22"/>
                <w:szCs w:val="22"/>
              </w:rPr>
              <w:t xml:space="preserve">B2–C1</w:t>
            </w:r>
          </w:p>
        </w:tc>
      </w:tr>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Duration</w:t>
            </w:r>
          </w:p>
        </w:tc>
        <w:tc>
          <w:tcPr>
            <w:tcW w:type="dxa" w:w="7800"/>
            <w:tcMar>
              <w:top w:type="dxa" w:w="100"/>
              <w:left w:type="dxa" w:w="140"/>
              <w:bottom w:type="dxa" w:w="100"/>
              <w:right w:type="dxa" w:w="140"/>
            </w:tcMar>
          </w:tcPr>
          <w:p>
            <w:pPr>
              <w:spacing w:after="120" w:before="0" w:line="320" w:lineRule="auto"/>
            </w:pPr>
            <w:r>
              <w:rPr>
                <w:sz w:val="22"/>
                <w:szCs w:val="22"/>
              </w:rPr>
              <w:t xml:space="preserve">90 minutes</w:t>
            </w:r>
          </w:p>
        </w:tc>
      </w:tr>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Grammar ★</w:t>
            </w:r>
          </w:p>
        </w:tc>
        <w:tc>
          <w:tcPr>
            <w:tcW w:type="dxa" w:w="7800"/>
            <w:tcMar>
              <w:top w:type="dxa" w:w="100"/>
              <w:left w:type="dxa" w:w="140"/>
              <w:bottom w:type="dxa" w:w="100"/>
              <w:right w:type="dxa" w:w="140"/>
            </w:tcMar>
          </w:tcPr>
          <w:p>
            <w:pPr>
              <w:spacing w:after="120" w:before="0" w:line="320" w:lineRule="auto"/>
            </w:pPr>
            <w:r>
              <w:rPr>
                <w:sz w:val="22"/>
                <w:szCs w:val="22"/>
              </w:rPr>
              <w:t xml:space="preserve">Inversion after negative/restrictive adverbials — Not only… but also; Never/Rarely + auxiliary + subject; Only when/after + inversion. Fifth structure in the B2–C1 grammar rotation, following Sequence of Tenses, Complex Subject, Indirect Speech, and Whatever/However.</w:t>
            </w:r>
          </w:p>
        </w:tc>
      </w:tr>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Characters</w:t>
            </w:r>
          </w:p>
        </w:tc>
        <w:tc>
          <w:tcPr>
            <w:tcW w:type="dxa" w:w="7800"/>
            <w:tcMar>
              <w:top w:type="dxa" w:w="100"/>
              <w:left w:type="dxa" w:w="140"/>
              <w:bottom w:type="dxa" w:w="100"/>
              <w:right w:type="dxa" w:w="140"/>
            </w:tcMar>
          </w:tcPr>
          <w:p>
            <w:pPr>
              <w:spacing w:after="120" w:before="0" w:line="320" w:lineRule="auto"/>
            </w:pPr>
            <w:r>
              <w:rPr>
                <w:sz w:val="22"/>
                <w:szCs w:val="22"/>
              </w:rPr>
              <w:t xml:space="preserve">Reading: ‘Not Only Did Alex Count: What Thirty Years of Testing Actually Showed’ (academic-style article)  |  Listening: Dr. Naomi Reyes (comparative cognition researcher, 44) &amp; Prof. Adrian Voss (linguist specialising in language acquisition, 52)</w:t>
            </w:r>
          </w:p>
        </w:tc>
      </w:tr>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Key facts</w:t>
            </w:r>
          </w:p>
        </w:tc>
        <w:tc>
          <w:tcPr>
            <w:tcW w:type="dxa" w:w="7800"/>
            <w:tcMar>
              <w:top w:type="dxa" w:w="100"/>
              <w:left w:type="dxa" w:w="140"/>
              <w:bottom w:type="dxa" w:w="100"/>
              <w:right w:type="dxa" w:w="140"/>
            </w:tcMar>
          </w:tcPr>
          <w:p>
            <w:pPr>
              <w:spacing w:after="120" w:before="0" w:line="320" w:lineRule="auto"/>
            </w:pPr>
            <w:r>
              <w:rPr>
                <w:sz w:val="22"/>
                <w:szCs w:val="22"/>
              </w:rPr>
              <w:t xml:space="preserve">Alex correctly answered novel combinations of category questions (e.g. colour of a specific shape among several objects) · This generative capacity is central to Pepperberg’s claims and to critics’ objections · Comparable disputes arose over ape-language studies in the 1970s–80s (e.g. Herbert Terrace’s critique of Nim Chimpsky) · No single study has fully settled whether responses reflect semantic comprehension or rule-based association</w:t>
            </w:r>
          </w:p>
        </w:tc>
      </w:tr>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Vocabulary</w:t>
            </w:r>
          </w:p>
        </w:tc>
        <w:tc>
          <w:tcPr>
            <w:tcW w:type="dxa" w:w="7800"/>
            <w:tcMar>
              <w:top w:type="dxa" w:w="100"/>
              <w:left w:type="dxa" w:w="140"/>
              <w:bottom w:type="dxa" w:w="100"/>
              <w:right w:type="dxa" w:w="140"/>
            </w:tcMar>
          </w:tcPr>
          <w:p>
            <w:pPr>
              <w:spacing w:after="120" w:before="0" w:line="320" w:lineRule="auto"/>
            </w:pPr>
            <w:r>
              <w:rPr>
                <w:sz w:val="22"/>
                <w:szCs w:val="22"/>
              </w:rPr>
              <w:t xml:space="preserve">10 words (B2–C1): mimicry · comprehension · rote · groundbreaking · replicate · semantic · rigorous · intentionality · linguistic · dispute</w:t>
            </w:r>
          </w:p>
        </w:tc>
      </w:tr>
      <w:tr>
        <w:trPr>
          <w:cantSplit/>
        </w:trPr>
        <w:tc>
          <w:tcPr>
            <w:tcW w:type="dxa" w:w="2200"/>
            <w:shd w:fill="DCEAE8" w:val="clear"/>
            <w:tcMar>
              <w:top w:type="dxa" w:w="100"/>
              <w:left w:type="dxa" w:w="140"/>
              <w:bottom w:type="dxa" w:w="100"/>
              <w:right w:type="dxa" w:w="140"/>
            </w:tcMar>
          </w:tcPr>
          <w:p>
            <w:pPr>
              <w:spacing w:after="120" w:before="0" w:line="320" w:lineRule="auto"/>
            </w:pPr>
            <w:r>
              <w:rPr>
                <w:b/>
                <w:bCs/>
                <w:color w:val="0F332F"/>
                <w:sz w:val="22"/>
                <w:szCs w:val="22"/>
              </w:rPr>
              <w:t xml:space="preserve">Writing</w:t>
            </w:r>
          </w:p>
        </w:tc>
        <w:tc>
          <w:tcPr>
            <w:tcW w:type="dxa" w:w="7800"/>
            <w:tcMar>
              <w:top w:type="dxa" w:w="100"/>
              <w:left w:type="dxa" w:w="140"/>
              <w:bottom w:type="dxa" w:w="100"/>
              <w:right w:type="dxa" w:w="140"/>
            </w:tcMar>
          </w:tcPr>
          <w:p>
            <w:pPr>
              <w:spacing w:after="120" w:before="0" w:line="320" w:lineRule="auto"/>
            </w:pPr>
            <w:r>
              <w:rPr>
                <w:sz w:val="22"/>
                <w:szCs w:val="22"/>
              </w:rPr>
              <w:t xml:space="preserve">150–200 words · Analytical / Argumentative / Opinion</w:t>
            </w:r>
          </w:p>
        </w:tc>
      </w:tr>
    </w:tbl>
    <w:p>
      <w:pPr>
        <w:pBdr>
          <w:bottom w:val="single" w:color="1F5C56" w:sz="14"/>
        </w:pBdr>
        <w:spacing w:after="140" w:before="260"/>
      </w:pPr>
      <w:r>
        <w:rPr>
          <w:b/>
          <w:bCs/>
          <w:i/>
          <w:iCs/>
          <w:color w:val="1F5C56"/>
          <w:sz w:val="30"/>
          <w:szCs w:val="30"/>
        </w:rPr>
        <w:t xml:space="preserve">Background for the Teacher</w:t>
      </w:r>
    </w:p>
    <w:p>
      <w:pPr>
        <w:spacing w:after="80" w:before="200"/>
      </w:pPr>
      <w:r>
        <w:rPr>
          <w:b/>
          <w:bCs/>
          <w:i/>
          <w:iCs/>
          <w:sz w:val="24"/>
          <w:szCs w:val="24"/>
        </w:rPr>
        <w:t xml:space="preserve">What Alex demonstrated</w:t>
      </w:r>
    </w:p>
    <w:p>
      <w:pPr>
        <w:spacing w:after="180" w:before="0" w:line="320" w:lineRule="auto"/>
      </w:pPr>
      <w:r>
        <w:rPr>
          <w:sz w:val="26"/>
          <w:szCs w:val="26"/>
        </w:rPr>
        <w:t xml:space="preserve">Over thirty years, Alex learned to identify roughly fifty objects, seven colours, and several shapes, and could correctly answer novel combination questions such as which object among several was a particular colour and shape together — not simply repeating a fixed, previously rehearsed answer. This generative quality, responding correctly to combinations he had not been drilled on directly, is the crux of Pepperberg’s claim that Alex’s language use was functional rather than purely imitative.</w:t>
      </w:r>
    </w:p>
    <w:p>
      <w:pPr>
        <w:spacing w:after="80" w:before="200"/>
      </w:pPr>
      <w:r>
        <w:rPr>
          <w:b/>
          <w:bCs/>
          <w:i/>
          <w:iCs/>
          <w:sz w:val="24"/>
          <w:szCs w:val="24"/>
        </w:rPr>
        <w:t xml:space="preserve">The comparable ape-language dispute</w:t>
      </w:r>
    </w:p>
    <w:p>
      <w:pPr>
        <w:spacing w:after="180" w:before="0" w:line="320" w:lineRule="auto"/>
      </w:pPr>
      <w:r>
        <w:rPr>
          <w:sz w:val="26"/>
          <w:szCs w:val="26"/>
        </w:rPr>
        <w:t xml:space="preserve">A structurally similar controversy occurred in primate research: Herbert Terrace, having initially reported that the chimpanzee Nim Chimpsky combined signs meaningfully, later concluded on closer video analysis that Nim was largely responding to unconscious cues from trainers and combining signs without evidence of grammar. This case is widely cited as a caution against over-interpreting animal communication studies.</w:t>
      </w:r>
    </w:p>
    <w:p>
      <w:pPr>
        <w:spacing w:after="80" w:before="200"/>
      </w:pPr>
      <w:r>
        <w:rPr>
          <w:b/>
          <w:bCs/>
          <w:i/>
          <w:iCs/>
          <w:sz w:val="24"/>
          <w:szCs w:val="24"/>
        </w:rPr>
        <w:t xml:space="preserve">Rote learning versus semantic comprehension</w:t>
      </w:r>
    </w:p>
    <w:p>
      <w:pPr>
        <w:spacing w:after="180" w:before="0" w:line="320" w:lineRule="auto"/>
      </w:pPr>
      <w:r>
        <w:rPr>
          <w:sz w:val="26"/>
          <w:szCs w:val="26"/>
        </w:rPr>
        <w:t xml:space="preserve">Critics of Pepperberg’s conclusions argue that sufficiently rigorous rote training could, in principle, produce correct responses to novel combinations without any semantic understanding resembling human language — essentially, highly sophisticated pattern completion rather than comprehension. Pepperberg and colleagues maintain that the range, flexibility, and error patterns in Alex’s responses are difficult to explain by rote association alone.</w:t>
      </w:r>
    </w:p>
    <w:p>
      <w:pPr>
        <w:spacing w:after="80" w:before="200"/>
      </w:pPr>
      <w:r>
        <w:rPr>
          <w:b/>
          <w:bCs/>
          <w:i/>
          <w:iCs/>
          <w:sz w:val="24"/>
          <w:szCs w:val="24"/>
        </w:rPr>
        <w:t xml:space="preserve">Epistemic caution: neither side has fully closed the case</w:t>
      </w:r>
    </w:p>
    <w:p>
      <w:pPr>
        <w:spacing w:after="180" w:before="0" w:line="320" w:lineRule="auto"/>
      </w:pPr>
      <w:r>
        <w:rPr>
          <w:sz w:val="26"/>
          <w:szCs w:val="26"/>
        </w:rPr>
        <w:t xml:space="preserve">No single experiment has definitively settled the dispute, and the honest position is that both hypotheses remain live: strong evidence of sophisticated cognition, without conclusive proof of semantic comprehension in the human sense. This unresolved tension motivates the True/False/Not Given task in Handout 3.</w:t>
      </w:r>
    </w:p>
    <w:p>
      <w:pPr>
        <w:pBdr>
          <w:bottom w:val="single" w:color="8B5E00" w:sz="14"/>
        </w:pBdr>
        <w:spacing w:after="140" w:before="260"/>
      </w:pPr>
      <w:r>
        <w:rPr>
          <w:b/>
          <w:bCs/>
          <w:i/>
          <w:iCs/>
          <w:color w:val="8B5E00"/>
          <w:sz w:val="30"/>
          <w:szCs w:val="30"/>
        </w:rPr>
        <w:t xml:space="preserve">Key Grammar — Inversion After Negative/Restrictive Adverbials</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Not only… but also (auxiliary + subject inverted):</w:t>
            </w:r>
          </w:p>
          <w:p>
            <w:pPr>
              <w:spacing w:after="60" w:before="20" w:line="320" w:lineRule="auto"/>
            </w:pPr>
            <w:r>
              <w:rPr>
                <w:sz w:val="22"/>
                <w:szCs w:val="22"/>
              </w:rPr>
              <w:t xml:space="preserve">“Not only did Alex learn to name colours, but he could also combine categories to answer entirely new questions.”</w:t>
            </w:r>
          </w:p>
          <w:p>
            <w:pPr>
              <w:spacing w:after="60" w:before="20" w:line="320" w:lineRule="auto"/>
            </w:pPr>
            <w:r>
              <w:rPr>
                <w:sz w:val="22"/>
                <w:szCs w:val="22"/>
              </w:rPr>
              <w:t xml:space="preserve">Never/Rarely + auxiliary + subject:</w:t>
            </w:r>
          </w:p>
          <w:p>
            <w:pPr>
              <w:spacing w:after="60" w:before="20" w:line="320" w:lineRule="auto"/>
            </w:pPr>
            <w:r>
              <w:rPr>
                <w:sz w:val="22"/>
                <w:szCs w:val="22"/>
              </w:rPr>
              <w:t xml:space="preserve">“Rarely has a single animal’s linguistic ability attracted so much scientific scrutiny.”</w:t>
            </w:r>
          </w:p>
          <w:p>
            <w:pPr>
              <w:spacing w:after="60" w:before="20" w:line="320" w:lineRule="auto"/>
            </w:pPr>
            <w:r>
              <w:rPr>
                <w:sz w:val="22"/>
                <w:szCs w:val="22"/>
              </w:rPr>
              <w:t xml:space="preserve">Only when/after + clause, + inversion:</w:t>
            </w:r>
          </w:p>
          <w:p>
            <w:pPr>
              <w:spacing w:after="60" w:before="20" w:line="320" w:lineRule="auto"/>
            </w:pPr>
            <w:r>
              <w:rPr>
                <w:sz w:val="22"/>
                <w:szCs w:val="22"/>
              </w:rPr>
              <w:t xml:space="preserve">“Only after decades of rigorous testing did many linguists begin to take the claims seriously.”</w:t>
            </w:r>
          </w:p>
        </w:tc>
      </w:tr>
    </w:tbl>
    <w:tbl>
      <w:tblPr>
        <w:tblW w:type="pct" w:w="100%"/>
        <w:tblBorders>
          <w:top w:val="none" w:color="FFFFFF" w:sz="0"/>
          <w:left w:val="single" w:color="8B5E00" w:sz="24"/>
          <w:bottom w:val="none" w:color="FFFFFF" w:sz="0"/>
          <w:right w:val="none" w:color="FFFFFF" w:sz="0"/>
          <w:insideH w:val="none" w:color="FFFFFF" w:sz="0"/>
          <w:insideV w:val="none" w:color="FFFFFF" w:sz="0"/>
        </w:tblBorders>
      </w:tblPr>
      <w:tblGrid>
        <w:gridCol w:w="100"/>
      </w:tblGrid>
      <w:tr>
        <w:trPr>
          <w:cantSplit/>
        </w:trPr>
        <w:tc>
          <w:tcPr>
            <w:shd w:fill="FFF6E0" w:val="clear"/>
            <w:tcMar>
              <w:top w:type="dxa" w:w="140"/>
              <w:left w:type="dxa" w:w="220"/>
              <w:bottom w:type="dxa" w:w="140"/>
              <w:right w:type="dxa" w:w="220"/>
            </w:tcMar>
          </w:tcPr>
          <w:p>
            <w:pPr>
              <w:spacing w:after="60" w:before="20" w:line="320" w:lineRule="auto"/>
            </w:pPr>
            <w:r>
              <w:rPr>
                <w:sz w:val="22"/>
                <w:szCs w:val="22"/>
              </w:rPr>
              <w:t xml:space="preserve">These adverbials, when placed first for emphasis, require subject-auxiliary inversion in the following clause. This is formal, written-register grammar, common in academic and journalistic writing.</w:t>
            </w:r>
          </w:p>
        </w:tc>
      </w:tr>
    </w:tbl>
    <w:p>
      <w:pPr>
        <w:pBdr>
          <w:bottom w:val="single" w:color="1F5C56" w:sz="14"/>
        </w:pBdr>
        <w:spacing w:after="140" w:before="260"/>
      </w:pPr>
      <w:r>
        <w:rPr>
          <w:b/>
          <w:bCs/>
          <w:i/>
          <w:iCs/>
          <w:color w:val="1F5C56"/>
          <w:sz w:val="30"/>
          <w:szCs w:val="30"/>
        </w:rPr>
        <w:t xml:space="preserve">Lesson Procedure</w:t>
      </w:r>
    </w:p>
    <w:tbl>
      <w:tblPr>
        <w:tblW w:type="pct" w:w="100%"/>
        <w:tblBorders>
          <w:top w:val="single" w:color="A69686" w:sz="4"/>
          <w:left w:val="single" w:color="A69686" w:sz="4"/>
          <w:bottom w:val="single" w:color="A69686" w:sz="4"/>
          <w:right w:val="single" w:color="A69686" w:sz="4"/>
          <w:insideH w:val="single" w:color="A69686" w:sz="4"/>
          <w:insideV w:val="single" w:color="A69686" w:sz="4"/>
        </w:tblBorders>
        <w:tblLayout w:type="fixed"/>
      </w:tblPr>
      <w:tblGrid>
        <w:gridCol w:w="800"/>
        <w:gridCol w:w="1500"/>
        <w:gridCol w:w="1200"/>
        <w:gridCol w:w="3200"/>
        <w:gridCol w:w="2300"/>
      </w:tblGrid>
      <w:tr>
        <w:trPr>
          <w:cantSplit/>
          <w:tblHeader/>
        </w:trPr>
        <w:tc>
          <w:tcPr>
            <w:tcW w:type="dxa" w:w="800"/>
            <w:shd w:fill="DCEAE8" w:val="clear"/>
            <w:tcMar>
              <w:top w:type="dxa" w:w="90"/>
              <w:left w:type="dxa" w:w="120"/>
              <w:bottom w:type="dxa" w:w="90"/>
              <w:right w:type="dxa" w:w="120"/>
            </w:tcMar>
          </w:tcPr>
          <w:p>
            <w:pPr>
              <w:spacing w:after="120" w:before="0" w:line="320" w:lineRule="auto"/>
            </w:pPr>
            <w:r>
              <w:rPr>
                <w:b/>
                <w:bCs/>
                <w:color w:val="0F332F"/>
                <w:sz w:val="18"/>
                <w:szCs w:val="18"/>
              </w:rPr>
              <w:t xml:space="preserve">Time</w:t>
            </w:r>
          </w:p>
        </w:tc>
        <w:tc>
          <w:tcPr>
            <w:tcW w:type="dxa" w:w="1500"/>
            <w:shd w:fill="DCEAE8" w:val="clear"/>
            <w:tcMar>
              <w:top w:type="dxa" w:w="90"/>
              <w:left w:type="dxa" w:w="120"/>
              <w:bottom w:type="dxa" w:w="90"/>
              <w:right w:type="dxa" w:w="120"/>
            </w:tcMar>
          </w:tcPr>
          <w:p>
            <w:pPr>
              <w:spacing w:after="120" w:before="0" w:line="320" w:lineRule="auto"/>
            </w:pPr>
            <w:r>
              <w:rPr>
                <w:b/>
                <w:bCs/>
                <w:color w:val="0F332F"/>
                <w:sz w:val="18"/>
                <w:szCs w:val="18"/>
              </w:rPr>
              <w:t xml:space="preserve">Stage</w:t>
            </w:r>
          </w:p>
        </w:tc>
        <w:tc>
          <w:tcPr>
            <w:tcW w:type="dxa" w:w="1200"/>
            <w:shd w:fill="DCEAE8" w:val="clear"/>
            <w:tcMar>
              <w:top w:type="dxa" w:w="90"/>
              <w:left w:type="dxa" w:w="120"/>
              <w:bottom w:type="dxa" w:w="90"/>
              <w:right w:type="dxa" w:w="120"/>
            </w:tcMar>
          </w:tcPr>
          <w:p>
            <w:pPr>
              <w:spacing w:after="120" w:before="0" w:line="320" w:lineRule="auto"/>
            </w:pPr>
            <w:r>
              <w:rPr>
                <w:b/>
                <w:bCs/>
                <w:color w:val="0F332F"/>
                <w:sz w:val="18"/>
                <w:szCs w:val="18"/>
              </w:rPr>
              <w:t xml:space="preserve">Skill</w:t>
            </w:r>
          </w:p>
        </w:tc>
        <w:tc>
          <w:tcPr>
            <w:tcW w:type="dxa" w:w="3200"/>
            <w:shd w:fill="DCEAE8" w:val="clear"/>
            <w:tcMar>
              <w:top w:type="dxa" w:w="90"/>
              <w:left w:type="dxa" w:w="120"/>
              <w:bottom w:type="dxa" w:w="90"/>
              <w:right w:type="dxa" w:w="120"/>
            </w:tcMar>
          </w:tcPr>
          <w:p>
            <w:pPr>
              <w:spacing w:after="120" w:before="0" w:line="320" w:lineRule="auto"/>
            </w:pPr>
            <w:r>
              <w:rPr>
                <w:b/>
                <w:bCs/>
                <w:color w:val="0F332F"/>
                <w:sz w:val="18"/>
                <w:szCs w:val="18"/>
              </w:rPr>
              <w:t xml:space="preserve">Teacher does</w:t>
            </w:r>
          </w:p>
        </w:tc>
        <w:tc>
          <w:tcPr>
            <w:tcW w:type="dxa" w:w="2300"/>
            <w:shd w:fill="DCEAE8" w:val="clear"/>
            <w:tcMar>
              <w:top w:type="dxa" w:w="90"/>
              <w:left w:type="dxa" w:w="120"/>
              <w:bottom w:type="dxa" w:w="90"/>
              <w:right w:type="dxa" w:w="120"/>
            </w:tcMar>
          </w:tcPr>
          <w:p>
            <w:pPr>
              <w:spacing w:after="120" w:before="0" w:line="320" w:lineRule="auto"/>
            </w:pPr>
            <w:r>
              <w:rPr>
                <w:b/>
                <w:bCs/>
                <w:color w:val="0F332F"/>
                <w:sz w:val="18"/>
                <w:szCs w:val="18"/>
              </w:rPr>
              <w:t xml:space="preserve">Students do</w:t>
            </w:r>
          </w:p>
        </w:tc>
      </w:tr>
      <w:tr>
        <w:trPr>
          <w:cantSplit/>
        </w:trPr>
        <w:tc>
          <w:tcPr>
            <w:tcW w:type="dxa" w:w="800"/>
            <w:shd w:fill="FFFFFF" w:val="clear"/>
            <w:tcMar>
              <w:top w:type="dxa" w:w="90"/>
              <w:left w:type="dxa" w:w="120"/>
              <w:bottom w:type="dxa" w:w="90"/>
              <w:right w:type="dxa" w:w="120"/>
            </w:tcMar>
          </w:tcPr>
          <w:p>
            <w:pPr>
              <w:spacing w:after="120" w:before="0" w:line="320" w:lineRule="auto"/>
            </w:pPr>
            <w:r>
              <w:rPr>
                <w:sz w:val="20"/>
                <w:szCs w:val="20"/>
              </w:rPr>
              <w:t xml:space="preserve">0–6</w:t>
            </w:r>
          </w:p>
        </w:tc>
        <w:tc>
          <w:tcPr>
            <w:tcW w:type="dxa" w:w="1500"/>
            <w:shd w:fill="FFFFFF" w:val="clear"/>
            <w:tcMar>
              <w:top w:type="dxa" w:w="90"/>
              <w:left w:type="dxa" w:w="120"/>
              <w:bottom w:type="dxa" w:w="90"/>
              <w:right w:type="dxa" w:w="120"/>
            </w:tcMar>
          </w:tcPr>
          <w:p>
            <w:pPr>
              <w:spacing w:after="120" w:before="0" w:line="320" w:lineRule="auto"/>
            </w:pPr>
            <w:r>
              <w:rPr>
                <w:sz w:val="20"/>
                <w:szCs w:val="20"/>
              </w:rPr>
              <w:t xml:space="preserve">Lead-in</w:t>
            </w:r>
          </w:p>
        </w:tc>
        <w:tc>
          <w:tcPr>
            <w:tcW w:type="dxa" w:w="1200"/>
            <w:shd w:fill="FFFFFF" w:val="clear"/>
            <w:tcMar>
              <w:top w:type="dxa" w:w="90"/>
              <w:left w:type="dxa" w:w="120"/>
              <w:bottom w:type="dxa" w:w="90"/>
              <w:right w:type="dxa" w:w="120"/>
            </w:tcMar>
          </w:tcPr>
          <w:p>
            <w:pPr>
              <w:spacing w:after="120" w:before="0" w:line="320" w:lineRule="auto"/>
            </w:pPr>
            <w:r>
              <w:rPr>
                <w:sz w:val="20"/>
                <w:szCs w:val="20"/>
              </w:rPr>
              <w:t xml:space="preserve">Speaking</w:t>
            </w:r>
          </w:p>
        </w:tc>
        <w:tc>
          <w:tcPr>
            <w:tcW w:type="dxa" w:w="3200"/>
            <w:shd w:fill="FFFFFF" w:val="clear"/>
            <w:tcMar>
              <w:top w:type="dxa" w:w="90"/>
              <w:left w:type="dxa" w:w="120"/>
              <w:bottom w:type="dxa" w:w="90"/>
              <w:right w:type="dxa" w:w="120"/>
            </w:tcMar>
          </w:tcPr>
          <w:p>
            <w:pPr>
              <w:spacing w:after="120" w:before="0" w:line="320" w:lineRule="auto"/>
            </w:pPr>
            <w:r>
              <w:rPr>
                <w:sz w:val="20"/>
                <w:szCs w:val="20"/>
              </w:rPr>
              <w:t xml:space="preserve">Board: “A parrot correctly answers a brand-new question he was never directly trained on. Does this prove he understands language, or just that his training was very good?” Students debate.</w:t>
            </w:r>
          </w:p>
        </w:tc>
        <w:tc>
          <w:tcPr>
            <w:tcW w:type="dxa" w:w="2300"/>
            <w:shd w:fill="FFFFFF" w:val="clear"/>
            <w:tcMar>
              <w:top w:type="dxa" w:w="90"/>
              <w:left w:type="dxa" w:w="120"/>
              <w:bottom w:type="dxa" w:w="90"/>
              <w:right w:type="dxa" w:w="120"/>
            </w:tcMar>
          </w:tcPr>
          <w:p>
            <w:pPr>
              <w:spacing w:after="120" w:before="0" w:line="320" w:lineRule="auto"/>
            </w:pPr>
            <w:r>
              <w:rPr>
                <w:sz w:val="20"/>
                <w:szCs w:val="20"/>
              </w:rPr>
              <w:t xml:space="preserve">Debate. Predict.</w:t>
            </w:r>
          </w:p>
        </w:tc>
      </w:tr>
      <w:tr>
        <w:trPr>
          <w:cantSplit/>
        </w:trPr>
        <w:tc>
          <w:tcPr>
            <w:tcW w:type="dxa" w:w="800"/>
            <w:shd w:fill="F5F0EE" w:val="clear"/>
            <w:tcMar>
              <w:top w:type="dxa" w:w="90"/>
              <w:left w:type="dxa" w:w="120"/>
              <w:bottom w:type="dxa" w:w="90"/>
              <w:right w:type="dxa" w:w="120"/>
            </w:tcMar>
          </w:tcPr>
          <w:p>
            <w:pPr>
              <w:spacing w:after="120" w:before="0" w:line="320" w:lineRule="auto"/>
            </w:pPr>
            <w:r>
              <w:rPr>
                <w:sz w:val="20"/>
                <w:szCs w:val="20"/>
              </w:rPr>
              <w:t xml:space="preserve">6–17</w:t>
            </w:r>
          </w:p>
        </w:tc>
        <w:tc>
          <w:tcPr>
            <w:tcW w:type="dxa" w:w="1500"/>
            <w:shd w:fill="F5F0EE" w:val="clear"/>
            <w:tcMar>
              <w:top w:type="dxa" w:w="90"/>
              <w:left w:type="dxa" w:w="120"/>
              <w:bottom w:type="dxa" w:w="90"/>
              <w:right w:type="dxa" w:w="120"/>
            </w:tcMar>
          </w:tcPr>
          <w:p>
            <w:pPr>
              <w:spacing w:after="120" w:before="0" w:line="320" w:lineRule="auto"/>
            </w:pPr>
            <w:r>
              <w:rPr>
                <w:sz w:val="20"/>
                <w:szCs w:val="20"/>
              </w:rPr>
              <w:t xml:space="preserve">H1 Vocab</w:t>
            </w:r>
          </w:p>
        </w:tc>
        <w:tc>
          <w:tcPr>
            <w:tcW w:type="dxa" w:w="1200"/>
            <w:shd w:fill="F5F0EE" w:val="clear"/>
            <w:tcMar>
              <w:top w:type="dxa" w:w="90"/>
              <w:left w:type="dxa" w:w="120"/>
              <w:bottom w:type="dxa" w:w="90"/>
              <w:right w:type="dxa" w:w="120"/>
            </w:tcMar>
          </w:tcPr>
          <w:p>
            <w:pPr>
              <w:spacing w:after="120" w:before="0" w:line="320" w:lineRule="auto"/>
            </w:pPr>
            <w:r>
              <w:rPr>
                <w:sz w:val="20"/>
                <w:szCs w:val="20"/>
              </w:rPr>
              <w:t xml:space="preserve">Vocab</w:t>
            </w:r>
          </w:p>
        </w:tc>
        <w:tc>
          <w:tcPr>
            <w:tcW w:type="dxa" w:w="3200"/>
            <w:shd w:fill="F5F0EE" w:val="clear"/>
            <w:tcMar>
              <w:top w:type="dxa" w:w="90"/>
              <w:left w:type="dxa" w:w="120"/>
              <w:bottom w:type="dxa" w:w="90"/>
              <w:right w:type="dxa" w:w="120"/>
            </w:tcMar>
          </w:tcPr>
          <w:p>
            <w:pPr>
              <w:spacing w:after="120" w:before="0" w:line="320" w:lineRule="auto"/>
            </w:pPr>
            <w:r>
              <w:rPr>
                <w:sz w:val="20"/>
                <w:szCs w:val="20"/>
              </w:rPr>
              <w:t xml:space="preserve">10 B2–C1 words. Key: rote association vs. semantic comprehension. Parts A, B, C.</w:t>
            </w:r>
          </w:p>
        </w:tc>
        <w:tc>
          <w:tcPr>
            <w:tcW w:type="dxa" w:w="2300"/>
            <w:shd w:fill="F5F0EE" w:val="clear"/>
            <w:tcMar>
              <w:top w:type="dxa" w:w="90"/>
              <w:left w:type="dxa" w:w="120"/>
              <w:bottom w:type="dxa" w:w="90"/>
              <w:right w:type="dxa" w:w="120"/>
            </w:tcMar>
          </w:tcPr>
          <w:p>
            <w:pPr>
              <w:spacing w:after="120" w:before="0" w:line="320" w:lineRule="auto"/>
            </w:pPr>
            <w:r>
              <w:rPr>
                <w:sz w:val="20"/>
                <w:szCs w:val="20"/>
              </w:rPr>
              <w:t xml:space="preserve">Read. Match. Fill.</w:t>
            </w:r>
          </w:p>
        </w:tc>
      </w:tr>
      <w:tr>
        <w:trPr>
          <w:cantSplit/>
        </w:trPr>
        <w:tc>
          <w:tcPr>
            <w:tcW w:type="dxa" w:w="800"/>
            <w:shd w:fill="FFFFFF" w:val="clear"/>
            <w:tcMar>
              <w:top w:type="dxa" w:w="90"/>
              <w:left w:type="dxa" w:w="120"/>
              <w:bottom w:type="dxa" w:w="90"/>
              <w:right w:type="dxa" w:w="120"/>
            </w:tcMar>
          </w:tcPr>
          <w:p>
            <w:pPr>
              <w:spacing w:after="120" w:before="0" w:line="320" w:lineRule="auto"/>
            </w:pPr>
            <w:r>
              <w:rPr>
                <w:sz w:val="20"/>
                <w:szCs w:val="20"/>
              </w:rPr>
              <w:t xml:space="preserve">17–32</w:t>
            </w:r>
          </w:p>
        </w:tc>
        <w:tc>
          <w:tcPr>
            <w:tcW w:type="dxa" w:w="1500"/>
            <w:shd w:fill="FFFFFF" w:val="clear"/>
            <w:tcMar>
              <w:top w:type="dxa" w:w="90"/>
              <w:left w:type="dxa" w:w="120"/>
              <w:bottom w:type="dxa" w:w="90"/>
              <w:right w:type="dxa" w:w="120"/>
            </w:tcMar>
          </w:tcPr>
          <w:p>
            <w:pPr>
              <w:spacing w:after="120" w:before="0" w:line="320" w:lineRule="auto"/>
            </w:pPr>
            <w:r>
              <w:rPr>
                <w:sz w:val="20"/>
                <w:szCs w:val="20"/>
              </w:rPr>
              <w:t xml:space="preserve">H2 Grammar</w:t>
            </w:r>
          </w:p>
        </w:tc>
        <w:tc>
          <w:tcPr>
            <w:tcW w:type="dxa" w:w="1200"/>
            <w:shd w:fill="FFFFFF" w:val="clear"/>
            <w:tcMar>
              <w:top w:type="dxa" w:w="90"/>
              <w:left w:type="dxa" w:w="120"/>
              <w:bottom w:type="dxa" w:w="90"/>
              <w:right w:type="dxa" w:w="120"/>
            </w:tcMar>
          </w:tcPr>
          <w:p>
            <w:pPr>
              <w:spacing w:after="120" w:before="0" w:line="320" w:lineRule="auto"/>
            </w:pPr>
            <w:r>
              <w:rPr>
                <w:sz w:val="20"/>
                <w:szCs w:val="20"/>
              </w:rPr>
              <w:t xml:space="preserve">Grammar</w:t>
            </w:r>
          </w:p>
        </w:tc>
        <w:tc>
          <w:tcPr>
            <w:tcW w:type="dxa" w:w="3200"/>
            <w:shd w:fill="FFFFFF" w:val="clear"/>
            <w:tcMar>
              <w:top w:type="dxa" w:w="90"/>
              <w:left w:type="dxa" w:w="120"/>
              <w:bottom w:type="dxa" w:w="90"/>
              <w:right w:type="dxa" w:w="120"/>
            </w:tcMar>
          </w:tcPr>
          <w:p>
            <w:pPr>
              <w:spacing w:after="120" w:before="0" w:line="320" w:lineRule="auto"/>
            </w:pPr>
            <w:r>
              <w:rPr>
                <w:sz w:val="20"/>
                <w:szCs w:val="20"/>
              </w:rPr>
              <w:t xml:space="preserve">Inversion: Not only…but also / Never-Rarely / Only when-after. Exercises 1–3.</w:t>
            </w:r>
          </w:p>
        </w:tc>
        <w:tc>
          <w:tcPr>
            <w:tcW w:type="dxa" w:w="2300"/>
            <w:shd w:fill="FFFFFF" w:val="clear"/>
            <w:tcMar>
              <w:top w:type="dxa" w:w="90"/>
              <w:left w:type="dxa" w:w="120"/>
              <w:bottom w:type="dxa" w:w="90"/>
              <w:right w:type="dxa" w:w="120"/>
            </w:tcMar>
          </w:tcPr>
          <w:p>
            <w:pPr>
              <w:spacing w:after="120" w:before="0" w:line="320" w:lineRule="auto"/>
            </w:pPr>
            <w:r>
              <w:rPr>
                <w:sz w:val="20"/>
                <w:szCs w:val="20"/>
              </w:rPr>
              <w:t xml:space="preserve">Transform. Combine. Write.</w:t>
            </w:r>
          </w:p>
        </w:tc>
      </w:tr>
      <w:tr>
        <w:trPr>
          <w:cantSplit/>
        </w:trPr>
        <w:tc>
          <w:tcPr>
            <w:tcW w:type="dxa" w:w="800"/>
            <w:shd w:fill="F5F0EE" w:val="clear"/>
            <w:tcMar>
              <w:top w:type="dxa" w:w="90"/>
              <w:left w:type="dxa" w:w="120"/>
              <w:bottom w:type="dxa" w:w="90"/>
              <w:right w:type="dxa" w:w="120"/>
            </w:tcMar>
          </w:tcPr>
          <w:p>
            <w:pPr>
              <w:spacing w:after="120" w:before="0" w:line="320" w:lineRule="auto"/>
            </w:pPr>
            <w:r>
              <w:rPr>
                <w:sz w:val="20"/>
                <w:szCs w:val="20"/>
              </w:rPr>
              <w:t xml:space="preserve">32–50</w:t>
            </w:r>
          </w:p>
        </w:tc>
        <w:tc>
          <w:tcPr>
            <w:tcW w:type="dxa" w:w="1500"/>
            <w:shd w:fill="F5F0EE" w:val="clear"/>
            <w:tcMar>
              <w:top w:type="dxa" w:w="90"/>
              <w:left w:type="dxa" w:w="120"/>
              <w:bottom w:type="dxa" w:w="90"/>
              <w:right w:type="dxa" w:w="120"/>
            </w:tcMar>
          </w:tcPr>
          <w:p>
            <w:pPr>
              <w:spacing w:after="120" w:before="0" w:line="320" w:lineRule="auto"/>
            </w:pPr>
            <w:r>
              <w:rPr>
                <w:sz w:val="20"/>
                <w:szCs w:val="20"/>
              </w:rPr>
              <w:t xml:space="preserve">H3 Reading</w:t>
            </w:r>
          </w:p>
        </w:tc>
        <w:tc>
          <w:tcPr>
            <w:tcW w:type="dxa" w:w="1200"/>
            <w:shd w:fill="F5F0EE" w:val="clear"/>
            <w:tcMar>
              <w:top w:type="dxa" w:w="90"/>
              <w:left w:type="dxa" w:w="120"/>
              <w:bottom w:type="dxa" w:w="90"/>
              <w:right w:type="dxa" w:w="120"/>
            </w:tcMar>
          </w:tcPr>
          <w:p>
            <w:pPr>
              <w:spacing w:after="120" w:before="0" w:line="320" w:lineRule="auto"/>
            </w:pPr>
            <w:r>
              <w:rPr>
                <w:sz w:val="20"/>
                <w:szCs w:val="20"/>
              </w:rPr>
              <w:t xml:space="preserve">Reading</w:t>
            </w:r>
          </w:p>
        </w:tc>
        <w:tc>
          <w:tcPr>
            <w:tcW w:type="dxa" w:w="3200"/>
            <w:shd w:fill="F5F0EE" w:val="clear"/>
            <w:tcMar>
              <w:top w:type="dxa" w:w="90"/>
              <w:left w:type="dxa" w:w="120"/>
              <w:bottom w:type="dxa" w:w="90"/>
              <w:right w:type="dxa" w:w="120"/>
            </w:tcMar>
          </w:tcPr>
          <w:p>
            <w:pPr>
              <w:spacing w:after="120" w:before="0" w:line="320" w:lineRule="auto"/>
            </w:pPr>
            <w:r>
              <w:rPr>
                <w:sz w:val="20"/>
                <w:szCs w:val="20"/>
              </w:rPr>
              <w:t xml:space="preserve">‘Not Only Did Alex Count…’ T/F/NG. Analysis.</w:t>
            </w:r>
          </w:p>
        </w:tc>
        <w:tc>
          <w:tcPr>
            <w:tcW w:type="dxa" w:w="2300"/>
            <w:shd w:fill="F5F0EE" w:val="clear"/>
            <w:tcMar>
              <w:top w:type="dxa" w:w="90"/>
              <w:left w:type="dxa" w:w="120"/>
              <w:bottom w:type="dxa" w:w="90"/>
              <w:right w:type="dxa" w:w="120"/>
            </w:tcMar>
          </w:tcPr>
          <w:p>
            <w:pPr>
              <w:spacing w:after="120" w:before="0" w:line="320" w:lineRule="auto"/>
            </w:pPr>
            <w:r>
              <w:rPr>
                <w:sz w:val="20"/>
                <w:szCs w:val="20"/>
              </w:rPr>
              <w:t xml:space="preserve">Read. Analyse. Discuss.</w:t>
            </w:r>
          </w:p>
        </w:tc>
      </w:tr>
      <w:tr>
        <w:trPr>
          <w:cantSplit/>
        </w:trPr>
        <w:tc>
          <w:tcPr>
            <w:tcW w:type="dxa" w:w="800"/>
            <w:shd w:fill="FFFFFF" w:val="clear"/>
            <w:tcMar>
              <w:top w:type="dxa" w:w="90"/>
              <w:left w:type="dxa" w:w="120"/>
              <w:bottom w:type="dxa" w:w="90"/>
              <w:right w:type="dxa" w:w="120"/>
            </w:tcMar>
          </w:tcPr>
          <w:p>
            <w:pPr>
              <w:spacing w:after="120" w:before="0" w:line="320" w:lineRule="auto"/>
            </w:pPr>
            <w:r>
              <w:rPr>
                <w:sz w:val="20"/>
                <w:szCs w:val="20"/>
              </w:rPr>
              <w:t xml:space="preserve">50–65</w:t>
            </w:r>
          </w:p>
        </w:tc>
        <w:tc>
          <w:tcPr>
            <w:tcW w:type="dxa" w:w="1500"/>
            <w:shd w:fill="FFFFFF" w:val="clear"/>
            <w:tcMar>
              <w:top w:type="dxa" w:w="90"/>
              <w:left w:type="dxa" w:w="120"/>
              <w:bottom w:type="dxa" w:w="90"/>
              <w:right w:type="dxa" w:w="120"/>
            </w:tcMar>
          </w:tcPr>
          <w:p>
            <w:pPr>
              <w:spacing w:after="120" w:before="0" w:line="320" w:lineRule="auto"/>
            </w:pPr>
            <w:r>
              <w:rPr>
                <w:sz w:val="20"/>
                <w:szCs w:val="20"/>
              </w:rPr>
              <w:t xml:space="preserve">H4 Listening</w:t>
            </w:r>
          </w:p>
        </w:tc>
        <w:tc>
          <w:tcPr>
            <w:tcW w:type="dxa" w:w="1200"/>
            <w:shd w:fill="FFFFFF" w:val="clear"/>
            <w:tcMar>
              <w:top w:type="dxa" w:w="90"/>
              <w:left w:type="dxa" w:w="120"/>
              <w:bottom w:type="dxa" w:w="90"/>
              <w:right w:type="dxa" w:w="120"/>
            </w:tcMar>
          </w:tcPr>
          <w:p>
            <w:pPr>
              <w:spacing w:after="120" w:before="0" w:line="320" w:lineRule="auto"/>
            </w:pPr>
            <w:r>
              <w:rPr>
                <w:sz w:val="20"/>
                <w:szCs w:val="20"/>
              </w:rPr>
              <w:t xml:space="preserve">Listening</w:t>
            </w:r>
          </w:p>
        </w:tc>
        <w:tc>
          <w:tcPr>
            <w:tcW w:type="dxa" w:w="3200"/>
            <w:shd w:fill="FFFFFF" w:val="clear"/>
            <w:tcMar>
              <w:top w:type="dxa" w:w="90"/>
              <w:left w:type="dxa" w:w="120"/>
              <w:bottom w:type="dxa" w:w="90"/>
              <w:right w:type="dxa" w:w="120"/>
            </w:tcMar>
          </w:tcPr>
          <w:p>
            <w:pPr>
              <w:spacing w:after="120" w:before="0" w:line="320" w:lineRule="auto"/>
            </w:pPr>
            <w:r>
              <w:rPr>
                <w:sz w:val="20"/>
                <w:szCs w:val="20"/>
              </w:rPr>
              <w:t xml:space="preserve">Read ‘A Question of Comprehension’ TWICE. Dr. Reyes &amp; Prof. Voss. MCQ. Notes. Critical evaluation.</w:t>
            </w:r>
          </w:p>
        </w:tc>
        <w:tc>
          <w:tcPr>
            <w:tcW w:type="dxa" w:w="2300"/>
            <w:shd w:fill="FFFFFF" w:val="clear"/>
            <w:tcMar>
              <w:top w:type="dxa" w:w="90"/>
              <w:left w:type="dxa" w:w="120"/>
              <w:bottom w:type="dxa" w:w="90"/>
              <w:right w:type="dxa" w:w="120"/>
            </w:tcMar>
          </w:tcPr>
          <w:p>
            <w:pPr>
              <w:spacing w:after="120" w:before="0" w:line="320" w:lineRule="auto"/>
            </w:pPr>
            <w:r>
              <w:rPr>
                <w:sz w:val="20"/>
                <w:szCs w:val="20"/>
              </w:rPr>
              <w:t xml:space="preserve">MCQ. Notes. Evaluate.</w:t>
            </w:r>
          </w:p>
        </w:tc>
      </w:tr>
      <w:tr>
        <w:trPr>
          <w:cantSplit/>
        </w:trPr>
        <w:tc>
          <w:tcPr>
            <w:tcW w:type="dxa" w:w="800"/>
            <w:shd w:fill="F5F0EE" w:val="clear"/>
            <w:tcMar>
              <w:top w:type="dxa" w:w="90"/>
              <w:left w:type="dxa" w:w="120"/>
              <w:bottom w:type="dxa" w:w="90"/>
              <w:right w:type="dxa" w:w="120"/>
            </w:tcMar>
          </w:tcPr>
          <w:p>
            <w:pPr>
              <w:spacing w:after="120" w:before="0" w:line="320" w:lineRule="auto"/>
            </w:pPr>
            <w:r>
              <w:rPr>
                <w:sz w:val="20"/>
                <w:szCs w:val="20"/>
              </w:rPr>
              <w:t xml:space="preserve">65–78</w:t>
            </w:r>
          </w:p>
        </w:tc>
        <w:tc>
          <w:tcPr>
            <w:tcW w:type="dxa" w:w="1500"/>
            <w:shd w:fill="F5F0EE" w:val="clear"/>
            <w:tcMar>
              <w:top w:type="dxa" w:w="90"/>
              <w:left w:type="dxa" w:w="120"/>
              <w:bottom w:type="dxa" w:w="90"/>
              <w:right w:type="dxa" w:w="120"/>
            </w:tcMar>
          </w:tcPr>
          <w:p>
            <w:pPr>
              <w:spacing w:after="120" w:before="0" w:line="320" w:lineRule="auto"/>
            </w:pPr>
            <w:r>
              <w:rPr>
                <w:sz w:val="20"/>
                <w:szCs w:val="20"/>
              </w:rPr>
              <w:t xml:space="preserve">H5 Speaking</w:t>
            </w:r>
          </w:p>
        </w:tc>
        <w:tc>
          <w:tcPr>
            <w:tcW w:type="dxa" w:w="1200"/>
            <w:shd w:fill="F5F0EE" w:val="clear"/>
            <w:tcMar>
              <w:top w:type="dxa" w:w="90"/>
              <w:left w:type="dxa" w:w="120"/>
              <w:bottom w:type="dxa" w:w="90"/>
              <w:right w:type="dxa" w:w="120"/>
            </w:tcMar>
          </w:tcPr>
          <w:p>
            <w:pPr>
              <w:spacing w:after="120" w:before="0" w:line="320" w:lineRule="auto"/>
            </w:pPr>
            <w:r>
              <w:rPr>
                <w:sz w:val="20"/>
                <w:szCs w:val="20"/>
              </w:rPr>
              <w:t xml:space="preserve">Speaking</w:t>
            </w:r>
          </w:p>
        </w:tc>
        <w:tc>
          <w:tcPr>
            <w:tcW w:type="dxa" w:w="3200"/>
            <w:shd w:fill="F5F0EE" w:val="clear"/>
            <w:tcMar>
              <w:top w:type="dxa" w:w="90"/>
              <w:left w:type="dxa" w:w="120"/>
              <w:bottom w:type="dxa" w:w="90"/>
              <w:right w:type="dxa" w:w="120"/>
            </w:tcMar>
          </w:tcPr>
          <w:p>
            <w:pPr>
              <w:spacing w:after="120" w:before="0" w:line="320" w:lineRule="auto"/>
            </w:pPr>
            <w:r>
              <w:rPr>
                <w:sz w:val="20"/>
                <w:szCs w:val="20"/>
              </w:rPr>
              <w:t xml:space="preserve">Discussion + debate. Require target grammar.</w:t>
            </w:r>
          </w:p>
        </w:tc>
        <w:tc>
          <w:tcPr>
            <w:tcW w:type="dxa" w:w="2300"/>
            <w:shd w:fill="F5F0EE" w:val="clear"/>
            <w:tcMar>
              <w:top w:type="dxa" w:w="90"/>
              <w:left w:type="dxa" w:w="120"/>
              <w:bottom w:type="dxa" w:w="90"/>
              <w:right w:type="dxa" w:w="120"/>
            </w:tcMar>
          </w:tcPr>
          <w:p>
            <w:pPr>
              <w:spacing w:after="120" w:before="0" w:line="320" w:lineRule="auto"/>
            </w:pPr>
            <w:r>
              <w:rPr>
                <w:sz w:val="20"/>
                <w:szCs w:val="20"/>
              </w:rPr>
              <w:t xml:space="preserve">Discuss. Debate.</w:t>
            </w:r>
          </w:p>
        </w:tc>
      </w:tr>
      <w:tr>
        <w:trPr>
          <w:cantSplit/>
        </w:trPr>
        <w:tc>
          <w:tcPr>
            <w:tcW w:type="dxa" w:w="800"/>
            <w:shd w:fill="FFFFFF" w:val="clear"/>
            <w:tcMar>
              <w:top w:type="dxa" w:w="90"/>
              <w:left w:type="dxa" w:w="120"/>
              <w:bottom w:type="dxa" w:w="90"/>
              <w:right w:type="dxa" w:w="120"/>
            </w:tcMar>
          </w:tcPr>
          <w:p>
            <w:pPr>
              <w:spacing w:after="120" w:before="0" w:line="320" w:lineRule="auto"/>
            </w:pPr>
            <w:r>
              <w:rPr>
                <w:sz w:val="20"/>
                <w:szCs w:val="20"/>
              </w:rPr>
              <w:t xml:space="preserve">78–90</w:t>
            </w:r>
          </w:p>
        </w:tc>
        <w:tc>
          <w:tcPr>
            <w:tcW w:type="dxa" w:w="1500"/>
            <w:shd w:fill="FFFFFF" w:val="clear"/>
            <w:tcMar>
              <w:top w:type="dxa" w:w="90"/>
              <w:left w:type="dxa" w:w="120"/>
              <w:bottom w:type="dxa" w:w="90"/>
              <w:right w:type="dxa" w:w="120"/>
            </w:tcMar>
          </w:tcPr>
          <w:p>
            <w:pPr>
              <w:spacing w:after="120" w:before="0" w:line="320" w:lineRule="auto"/>
            </w:pPr>
            <w:r>
              <w:rPr>
                <w:sz w:val="20"/>
                <w:szCs w:val="20"/>
              </w:rPr>
              <w:t xml:space="preserve">H6 Writing</w:t>
            </w:r>
          </w:p>
        </w:tc>
        <w:tc>
          <w:tcPr>
            <w:tcW w:type="dxa" w:w="1200"/>
            <w:shd w:fill="FFFFFF" w:val="clear"/>
            <w:tcMar>
              <w:top w:type="dxa" w:w="90"/>
              <w:left w:type="dxa" w:w="120"/>
              <w:bottom w:type="dxa" w:w="90"/>
              <w:right w:type="dxa" w:w="120"/>
            </w:tcMar>
          </w:tcPr>
          <w:p>
            <w:pPr>
              <w:spacing w:after="120" w:before="0" w:line="320" w:lineRule="auto"/>
            </w:pPr>
            <w:r>
              <w:rPr>
                <w:sz w:val="20"/>
                <w:szCs w:val="20"/>
              </w:rPr>
              <w:t xml:space="preserve">Writing</w:t>
            </w:r>
          </w:p>
        </w:tc>
        <w:tc>
          <w:tcPr>
            <w:tcW w:type="dxa" w:w="3200"/>
            <w:shd w:fill="FFFFFF" w:val="clear"/>
            <w:tcMar>
              <w:top w:type="dxa" w:w="90"/>
              <w:left w:type="dxa" w:w="120"/>
              <w:bottom w:type="dxa" w:w="90"/>
              <w:right w:type="dxa" w:w="120"/>
            </w:tcMar>
          </w:tcPr>
          <w:p>
            <w:pPr>
              <w:spacing w:after="120" w:before="0" w:line="320" w:lineRule="auto"/>
            </w:pPr>
            <w:r>
              <w:rPr>
                <w:sz w:val="20"/>
                <w:szCs w:val="20"/>
              </w:rPr>
              <w:t xml:space="preserve">150–200 words. Min two inversion structures + three vocabulary words.</w:t>
            </w:r>
          </w:p>
        </w:tc>
        <w:tc>
          <w:tcPr>
            <w:tcW w:type="dxa" w:w="2300"/>
            <w:shd w:fill="FFFFFF" w:val="clear"/>
            <w:tcMar>
              <w:top w:type="dxa" w:w="90"/>
              <w:left w:type="dxa" w:w="120"/>
              <w:bottom w:type="dxa" w:w="90"/>
              <w:right w:type="dxa" w:w="120"/>
            </w:tcMar>
          </w:tcPr>
          <w:p>
            <w:pPr>
              <w:spacing w:after="120" w:before="0" w:line="320" w:lineRule="auto"/>
            </w:pPr>
            <w:r>
              <w:rPr>
                <w:sz w:val="20"/>
                <w:szCs w:val="20"/>
              </w:rPr>
              <w:t xml:space="preserve">Choose. Plan. Begin.</w:t>
            </w:r>
          </w:p>
        </w:tc>
      </w:tr>
    </w:tbl>
    <w:p>
      <w:pPr>
        <w:pBdr>
          <w:bottom w:val="single" w:color="4A5568" w:sz="14"/>
        </w:pBdr>
        <w:spacing w:after="140" w:before="260"/>
      </w:pPr>
      <w:r>
        <w:rPr>
          <w:b/>
          <w:bCs/>
          <w:i/>
          <w:iCs/>
          <w:color w:val="4A5568"/>
          <w:sz w:val="30"/>
          <w:szCs w:val="30"/>
        </w:rPr>
        <w:t xml:space="preserve">Listening Script — ‘A Question of Comprehension’</w:t>
      </w:r>
    </w:p>
    <w:tbl>
      <w:tblPr>
        <w:tblW w:type="pct" w:w="100%"/>
        <w:tblBorders>
          <w:top w:val="none" w:color="FFFFFF" w:sz="0"/>
          <w:left w:val="single" w:color="4A5568" w:sz="24"/>
          <w:bottom w:val="none" w:color="FFFFFF" w:sz="0"/>
          <w:right w:val="none" w:color="FFFFFF" w:sz="0"/>
          <w:insideH w:val="none" w:color="FFFFFF" w:sz="0"/>
          <w:insideV w:val="none" w:color="FFFFFF" w:sz="0"/>
        </w:tblBorders>
      </w:tblPr>
      <w:tblGrid>
        <w:gridCol w:w="100"/>
      </w:tblGrid>
      <w:tr>
        <w:trPr>
          <w:cantSplit/>
        </w:trPr>
        <w:tc>
          <w:tcPr>
            <w:shd w:fill="EDEFF2" w:val="clear"/>
            <w:tcMar>
              <w:top w:type="dxa" w:w="140"/>
              <w:left w:type="dxa" w:w="220"/>
              <w:bottom w:type="dxa" w:w="140"/>
              <w:right w:type="dxa" w:w="220"/>
            </w:tcMar>
          </w:tcPr>
          <w:p>
            <w:pPr>
              <w:spacing w:after="60" w:before="20" w:line="320" w:lineRule="auto"/>
            </w:pPr>
            <w:r>
              <w:rPr>
                <w:sz w:val="22"/>
                <w:szCs w:val="22"/>
              </w:rPr>
              <w:t xml:space="preserve">Dr. Naomi Reyes (comparative cognition researcher, 44) and Prof. Adrian Voss (linguist specialising in language acquisition, 52). Inversion structures embedded throughout (8+). Read TWICE. Students do NOT see this script.</w:t>
            </w:r>
          </w:p>
        </w:tc>
      </w:tr>
    </w:tbl>
    <w:p>
      <w:pPr>
        <w:spacing w:after="90" w:line="320" w:lineRule="auto"/>
      </w:pPr>
      <w:r>
        <w:rPr>
          <w:b/>
          <w:bCs/>
          <w:color w:val="4A8A82"/>
          <w:sz w:val="22"/>
          <w:szCs w:val="22"/>
        </w:rPr>
        <w:t xml:space="preserve">Adrian:  </w:t>
      </w:r>
      <w:r>
        <w:rPr>
          <w:sz w:val="26"/>
          <w:szCs w:val="26"/>
        </w:rPr>
        <w:t xml:space="preserve">Naomi, I want to push back gently on the framing that Alex “used language.” As a linguist, that word carries a lot of weight I'm not sure the data supports.</w:t>
      </w:r>
    </w:p>
    <w:p>
      <w:pPr>
        <w:spacing w:after="90" w:line="320" w:lineRule="auto"/>
      </w:pPr>
      <w:r>
        <w:rPr>
          <w:b/>
          <w:bCs/>
          <w:color w:val="4A8A82"/>
          <w:sz w:val="22"/>
          <w:szCs w:val="22"/>
        </w:rPr>
        <w:t xml:space="preserve">Naomi:  </w:t>
      </w:r>
      <w:r>
        <w:rPr>
          <w:sz w:val="26"/>
          <w:szCs w:val="26"/>
        </w:rPr>
        <w:t xml:space="preserve">That's fair, and I'd rather be precise than provocative. Here's what's solid: not only could he name individual objects, colours, and shapes on their own, but he also handled entirely new combinations of them correctly — pairings nobody had specifically trained him on beforehand. It's that ability to generalise that pushes this past simple mimicry, in my view.</w:t>
      </w:r>
    </w:p>
    <w:p>
      <w:pPr>
        <w:spacing w:after="90" w:line="320" w:lineRule="auto"/>
      </w:pPr>
      <w:r>
        <w:rPr>
          <w:b/>
          <w:bCs/>
          <w:color w:val="4A8A82"/>
          <w:sz w:val="22"/>
          <w:szCs w:val="22"/>
        </w:rPr>
        <w:t xml:space="preserve">Adrian:  </w:t>
      </w:r>
      <w:r>
        <w:rPr>
          <w:sz w:val="26"/>
          <w:szCs w:val="26"/>
        </w:rPr>
        <w:t xml:space="preserve">But generative responses to novel combinations don't necessarily require semantic comprehension. A sufficiently rigorous rote-training regime could, in principle, produce that same flexibility through rule-based association, without anything resembling meaning in the way linguists use the term.</w:t>
      </w:r>
    </w:p>
    <w:p>
      <w:pPr>
        <w:spacing w:after="90" w:line="320" w:lineRule="auto"/>
      </w:pPr>
      <w:r>
        <w:rPr>
          <w:b/>
          <w:bCs/>
          <w:color w:val="4A8A82"/>
          <w:sz w:val="22"/>
          <w:szCs w:val="22"/>
        </w:rPr>
        <w:t xml:space="preserve">Naomi:  </w:t>
      </w:r>
      <w:r>
        <w:rPr>
          <w:sz w:val="26"/>
          <w:szCs w:val="26"/>
        </w:rPr>
        <w:t xml:space="preserve">That's exactly where the disagreement sits, and I don't think either camp has fully won it. Rarely does one animal's mental abilities get picked apart this thoroughly, and that's precisely because so much rides on which interpretation turns out to be right.</w:t>
      </w:r>
    </w:p>
    <w:p>
      <w:pPr>
        <w:spacing w:after="90" w:line="320" w:lineRule="auto"/>
      </w:pPr>
      <w:r>
        <w:rPr>
          <w:b/>
          <w:bCs/>
          <w:color w:val="4A8A82"/>
          <w:sz w:val="22"/>
          <w:szCs w:val="22"/>
        </w:rPr>
        <w:t xml:space="preserve">Adrian:  </w:t>
      </w:r>
      <w:r>
        <w:rPr>
          <w:sz w:val="26"/>
          <w:szCs w:val="26"/>
        </w:rPr>
        <w:t xml:space="preserve">It reminds me of the whole Nim Chimpsky saga. Terrace was convinced at first that the signs were meaningfully combined, and it took a painstaking, shot-by-shot review of the recordings before he changed his mind — realising the chimp had mostly been picking up on subtle signals from the people training him.</w:t>
      </w:r>
    </w:p>
    <w:p>
      <w:pPr>
        <w:spacing w:after="90" w:line="320" w:lineRule="auto"/>
      </w:pPr>
      <w:r>
        <w:rPr>
          <w:b/>
          <w:bCs/>
          <w:color w:val="4A8A82"/>
          <w:sz w:val="22"/>
          <w:szCs w:val="22"/>
        </w:rPr>
        <w:t xml:space="preserve">Naomi:  </w:t>
      </w:r>
      <w:r>
        <w:rPr>
          <w:sz w:val="26"/>
          <w:szCs w:val="26"/>
        </w:rPr>
        <w:t xml:space="preserve">Right, and that's the exact caution I want students to carry into this case too. Pepperberg's setup was built with far tighter controls than those older primate studies, which genuinely matters. Tighter controls lower the odds of repeating Terrace's mistake — but lowering the odds isn't the same as proving Alex grasped meaning.</w:t>
      </w:r>
    </w:p>
    <w:p>
      <w:pPr>
        <w:spacing w:after="90" w:line="320" w:lineRule="auto"/>
      </w:pPr>
      <w:r>
        <w:rPr>
          <w:b/>
          <w:bCs/>
          <w:color w:val="4A8A82"/>
          <w:sz w:val="22"/>
          <w:szCs w:val="22"/>
        </w:rPr>
        <w:t xml:space="preserve">Adrian:  </w:t>
      </w:r>
      <w:r>
        <w:rPr>
          <w:sz w:val="26"/>
          <w:szCs w:val="26"/>
        </w:rPr>
        <w:t xml:space="preserve">So where does that leave us?</w:t>
      </w:r>
    </w:p>
    <w:p>
      <w:pPr>
        <w:spacing w:after="90" w:line="320" w:lineRule="auto"/>
      </w:pPr>
      <w:r>
        <w:rPr>
          <w:b/>
          <w:bCs/>
          <w:color w:val="4A8A82"/>
          <w:sz w:val="22"/>
          <w:szCs w:val="22"/>
        </w:rPr>
        <w:t xml:space="preserve">Naomi:  </w:t>
      </w:r>
      <w:r>
        <w:rPr>
          <w:sz w:val="26"/>
          <w:szCs w:val="26"/>
        </w:rPr>
        <w:t xml:space="preserve">Honestly? Somewhere uncomfortably in between. Not only does pure mimicry fail to account for what Alex actually did, but the boldest claims about him truly understanding meaning also reach past what the evidence can carry. The real answer is somewhere in that gap, and we don't have precise enough tools yet to pin it down.</w:t>
      </w:r>
    </w:p>
    <w:p>
      <w:pPr>
        <w:spacing w:after="90" w:line="320" w:lineRule="auto"/>
      </w:pPr>
      <w:r>
        <w:rPr>
          <w:b/>
          <w:bCs/>
          <w:color w:val="4A8A82"/>
          <w:sz w:val="22"/>
          <w:szCs w:val="22"/>
        </w:rPr>
        <w:t xml:space="preserve">Adrian:  </w:t>
      </w:r>
      <w:r>
        <w:rPr>
          <w:sz w:val="26"/>
          <w:szCs w:val="26"/>
        </w:rPr>
        <w:t xml:space="preserve">That's a less satisfying answer than either side usually gives.</w:t>
      </w:r>
    </w:p>
    <w:p>
      <w:pPr>
        <w:spacing w:after="90" w:line="320" w:lineRule="auto"/>
      </w:pPr>
      <w:r>
        <w:rPr>
          <w:b/>
          <w:bCs/>
          <w:color w:val="4A8A82"/>
          <w:sz w:val="22"/>
          <w:szCs w:val="22"/>
        </w:rPr>
        <w:t xml:space="preserve">Naomi:  </w:t>
      </w:r>
      <w:r>
        <w:rPr>
          <w:sz w:val="26"/>
          <w:szCs w:val="26"/>
        </w:rPr>
        <w:t xml:space="preserve">It is. But only by resisting the temptation to declare an early winner does this field actually move forward. I'd rather live with the open question than fake certainty just to make the story tidier.</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Inversion in the script:</w:t>
            </w:r>
          </w:p>
          <w:p>
            <w:pPr>
              <w:spacing w:after="60" w:before="20" w:line="320" w:lineRule="auto"/>
            </w:pPr>
            <w:r>
              <w:rPr>
                <w:sz w:val="22"/>
                <w:szCs w:val="22"/>
              </w:rPr>
              <w:t xml:space="preserve">“not only could he name individual objects, colours, and shapes… but he also handled entirely new combinations…” · “rarely does one animal's mental abilities get picked apart this thoroughly” · “only by resisting the temptation to declare an early winner does this field actually move forward” · “not only does pure mimicry fail to account for what Alex actually did… but the boldest claims…also reach past what the evidence can carry”</w:t>
            </w:r>
          </w:p>
        </w:tc>
      </w:tr>
    </w:tbl>
    <w:p>
      <w:pPr>
        <w:pBdr>
          <w:bottom w:val="single" w:color="1F5C56" w:sz="14"/>
        </w:pBdr>
        <w:spacing w:after="140" w:before="260"/>
      </w:pPr>
      <w:r>
        <w:rPr>
          <w:b/>
          <w:bCs/>
          <w:i/>
          <w:iCs/>
          <w:color w:val="1F5C56"/>
          <w:sz w:val="30"/>
          <w:szCs w:val="30"/>
        </w:rPr>
        <w:t xml:space="preserve">Answer Key</w:t>
      </w:r>
    </w:p>
    <w:p>
      <w:pPr>
        <w:spacing w:after="80" w:before="200"/>
      </w:pPr>
      <w:r>
        <w:rPr>
          <w:b/>
          <w:bCs/>
          <w:i/>
          <w:iCs/>
          <w:sz w:val="24"/>
          <w:szCs w:val="24"/>
        </w:rPr>
        <w:t xml:space="preserve">Handout 1</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Part B: 1. mimicry · 2. rote · 3. comprehension · 4. groundbreaking · 5. replicate · 6. semantic · 7. rigorous · 8. intentionality · 9. linguistic · 10. dispute</w:t>
            </w:r>
          </w:p>
        </w:tc>
      </w:tr>
    </w:tbl>
    <w:tbl>
      <w:tblPr>
        <w:tblW w:type="pct" w:w="100%"/>
        <w:tblBorders>
          <w:top w:val="none" w:color="FFFFFF" w:sz="0"/>
          <w:left w:val="single" w:color="142850" w:sz="24"/>
          <w:bottom w:val="none" w:color="FFFFFF" w:sz="0"/>
          <w:right w:val="none" w:color="FFFFFF" w:sz="0"/>
          <w:insideH w:val="none" w:color="FFFFFF" w:sz="0"/>
          <w:insideV w:val="none" w:color="FFFFFF" w:sz="0"/>
        </w:tblBorders>
      </w:tblPr>
      <w:tblGrid>
        <w:gridCol w:w="100"/>
      </w:tblGrid>
      <w:tr>
        <w:trPr>
          <w:cantSplit/>
        </w:trPr>
        <w:tc>
          <w:tcPr>
            <w:shd w:fill="E7EBF2" w:val="clear"/>
            <w:tcMar>
              <w:top w:type="dxa" w:w="140"/>
              <w:left w:type="dxa" w:w="220"/>
              <w:bottom w:type="dxa" w:w="140"/>
              <w:right w:type="dxa" w:w="220"/>
            </w:tcMar>
          </w:tcPr>
          <w:p>
            <w:pPr>
              <w:spacing w:after="60" w:before="20" w:line="320" w:lineRule="auto"/>
            </w:pPr>
            <w:r>
              <w:rPr>
                <w:sz w:val="22"/>
                <w:szCs w:val="22"/>
              </w:rPr>
              <w:t xml:space="preserve">Part C: 1. intentionality · 2. linguistic · 3. dispute · 4. replicate · 5. rigorous · 6. semantic · 7. groundbreaking · 8. comprehension · 9. rote · 10. mimicry</w:t>
            </w:r>
          </w:p>
        </w:tc>
      </w:tr>
    </w:tbl>
    <w:p>
      <w:pPr>
        <w:spacing w:after="80" w:before="200"/>
      </w:pPr>
      <w:r>
        <w:rPr>
          <w:b/>
          <w:bCs/>
          <w:i/>
          <w:iCs/>
          <w:sz w:val="24"/>
          <w:szCs w:val="24"/>
        </w:rPr>
        <w:t xml:space="preserve">Handout 2</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Ex 1 (transform): Accept any version correctly inverting subject and auxiliary after Not only, preserving meaning.</w:t>
            </w:r>
          </w:p>
        </w:tc>
      </w:tr>
    </w:tbl>
    <w:tbl>
      <w:tblPr>
        <w:tblW w:type="pct" w:w="100%"/>
        <w:tblBorders>
          <w:top w:val="none" w:color="FFFFFF" w:sz="0"/>
          <w:left w:val="single" w:color="142850" w:sz="24"/>
          <w:bottom w:val="none" w:color="FFFFFF" w:sz="0"/>
          <w:right w:val="none" w:color="FFFFFF" w:sz="0"/>
          <w:insideH w:val="none" w:color="FFFFFF" w:sz="0"/>
          <w:insideV w:val="none" w:color="FFFFFF" w:sz="0"/>
        </w:tblBorders>
      </w:tblPr>
      <w:tblGrid>
        <w:gridCol w:w="100"/>
      </w:tblGrid>
      <w:tr>
        <w:trPr>
          <w:cantSplit/>
        </w:trPr>
        <w:tc>
          <w:tcPr>
            <w:shd w:fill="E7EBF2" w:val="clear"/>
            <w:tcMar>
              <w:top w:type="dxa" w:w="140"/>
              <w:left w:type="dxa" w:w="220"/>
              <w:bottom w:type="dxa" w:w="140"/>
              <w:right w:type="dxa" w:w="220"/>
            </w:tcMar>
          </w:tcPr>
          <w:p>
            <w:pPr>
              <w:spacing w:after="60" w:before="20" w:line="320" w:lineRule="auto"/>
            </w:pPr>
            <w:r>
              <w:rPr>
                <w:sz w:val="22"/>
                <w:szCs w:val="22"/>
              </w:rPr>
              <w:t xml:space="preserve">Ex 2 (combine): Accept any grammatically correct sentence using Never/Rarely or Only when/after with correct inversion.</w:t>
            </w:r>
          </w:p>
        </w:tc>
      </w:tr>
    </w:tbl>
    <w:p>
      <w:pPr>
        <w:spacing w:after="80" w:before="200"/>
      </w:pPr>
      <w:r>
        <w:rPr>
          <w:b/>
          <w:bCs/>
          <w:i/>
          <w:iCs/>
          <w:sz w:val="24"/>
          <w:szCs w:val="24"/>
        </w:rPr>
        <w:t xml:space="preserve">Handout 3</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T/F/NG: 1. T · 2. F (the article treats this as unresolved, not settled either way) · 3. T · 4. NG · 5. T</w:t>
            </w:r>
          </w:p>
        </w:tc>
      </w:tr>
    </w:tbl>
    <w:tbl>
      <w:tblPr>
        <w:tblW w:type="pct" w:w="100%"/>
        <w:tblBorders>
          <w:top w:val="none" w:color="FFFFFF" w:sz="0"/>
          <w:left w:val="single" w:color="142850" w:sz="24"/>
          <w:bottom w:val="none" w:color="FFFFFF" w:sz="0"/>
          <w:right w:val="none" w:color="FFFFFF" w:sz="0"/>
          <w:insideH w:val="none" w:color="FFFFFF" w:sz="0"/>
          <w:insideV w:val="none" w:color="FFFFFF" w:sz="0"/>
        </w:tblBorders>
      </w:tblPr>
      <w:tblGrid>
        <w:gridCol w:w="100"/>
      </w:tblGrid>
      <w:tr>
        <w:trPr>
          <w:cantSplit/>
        </w:trPr>
        <w:tc>
          <w:tcPr>
            <w:shd w:fill="E7EBF2" w:val="clear"/>
            <w:tcMar>
              <w:top w:type="dxa" w:w="140"/>
              <w:left w:type="dxa" w:w="220"/>
              <w:bottom w:type="dxa" w:w="140"/>
              <w:right w:type="dxa" w:w="220"/>
            </w:tcMar>
          </w:tcPr>
          <w:p>
            <w:pPr>
              <w:spacing w:after="60" w:before="20" w:line="320" w:lineRule="auto"/>
            </w:pPr>
            <w:r>
              <w:rPr>
                <w:sz w:val="22"/>
                <w:szCs w:val="22"/>
              </w:rPr>
              <w:t xml:space="preserve">Analysis: Q1: Novel-combination responses are documented and replicated; whether they require semantic comprehension rather than sophisticated association remains disputed. Q2: accept any well-reasoned answer distinguishing generative behaviour from proof of comprehension. Q3: open evaluative question. Q4: open personal response.</w:t>
            </w:r>
          </w:p>
        </w:tc>
      </w:tr>
    </w:tbl>
    <w:p>
      <w:pPr>
        <w:spacing w:after="80" w:before="200"/>
      </w:pPr>
      <w:r>
        <w:rPr>
          <w:b/>
          <w:bCs/>
          <w:i/>
          <w:iCs/>
          <w:sz w:val="24"/>
          <w:szCs w:val="24"/>
        </w:rPr>
        <w:t xml:space="preserve">Handout 4</w:t>
      </w:r>
    </w:p>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MCQ: 1. B · 2. B · 3. B</w:t>
            </w:r>
          </w:p>
        </w:tc>
      </w:tr>
    </w:tbl>
    <w:tbl>
      <w:tblPr>
        <w:tblW w:type="pct" w:w="100%"/>
        <w:tblBorders>
          <w:top w:val="none" w:color="FFFFFF" w:sz="0"/>
          <w:left w:val="single" w:color="142850" w:sz="24"/>
          <w:bottom w:val="none" w:color="FFFFFF" w:sz="0"/>
          <w:right w:val="none" w:color="FFFFFF" w:sz="0"/>
          <w:insideH w:val="none" w:color="FFFFFF" w:sz="0"/>
          <w:insideV w:val="none" w:color="FFFFFF" w:sz="0"/>
        </w:tblBorders>
      </w:tblPr>
      <w:tblGrid>
        <w:gridCol w:w="100"/>
      </w:tblGrid>
      <w:tr>
        <w:trPr>
          <w:cantSplit/>
        </w:trPr>
        <w:tc>
          <w:tcPr>
            <w:shd w:fill="E7EBF2" w:val="clear"/>
            <w:tcMar>
              <w:top w:type="dxa" w:w="140"/>
              <w:left w:type="dxa" w:w="220"/>
              <w:bottom w:type="dxa" w:w="140"/>
              <w:right w:type="dxa" w:w="220"/>
            </w:tcMar>
          </w:tcPr>
          <w:p>
            <w:pPr>
              <w:spacing w:after="60" w:before="20" w:line="320" w:lineRule="auto"/>
            </w:pPr>
            <w:r>
              <w:rPr>
                <w:sz w:val="22"/>
                <w:szCs w:val="22"/>
              </w:rPr>
              <w:t xml:space="preserve">Task 2 Notes: combination · cues · rigorous · association · settled</w:t>
            </w:r>
          </w:p>
        </w:tc>
      </w:tr>
    </w:tbl>
    <w:tbl>
      <w:tblPr>
        <w:tblW w:type="pct" w:w="100%"/>
        <w:tblBorders>
          <w:top w:val="none" w:color="FFFFFF" w:sz="0"/>
          <w:left w:val="single" w:color="1F5C56" w:sz="24"/>
          <w:bottom w:val="none" w:color="FFFFFF" w:sz="0"/>
          <w:right w:val="none" w:color="FFFFFF" w:sz="0"/>
          <w:insideH w:val="none" w:color="FFFFFF" w:sz="0"/>
          <w:insideV w:val="none" w:color="FFFFFF" w:sz="0"/>
        </w:tblBorders>
      </w:tblPr>
      <w:tblGrid>
        <w:gridCol w:w="100"/>
      </w:tblGrid>
      <w:tr>
        <w:trPr>
          <w:cantSplit/>
        </w:trPr>
        <w:tc>
          <w:tcPr>
            <w:shd w:fill="DCEAE8" w:val="clear"/>
            <w:tcMar>
              <w:top w:type="dxa" w:w="140"/>
              <w:left w:type="dxa" w:w="220"/>
              <w:bottom w:type="dxa" w:w="140"/>
              <w:right w:type="dxa" w:w="220"/>
            </w:tcMar>
          </w:tcPr>
          <w:p>
            <w:pPr>
              <w:spacing w:after="60" w:before="20" w:line="320" w:lineRule="auto"/>
            </w:pPr>
            <w:r>
              <w:rPr>
                <w:sz w:val="22"/>
                <w:szCs w:val="22"/>
              </w:rPr>
              <w:t xml:space="preserve">Task 3: open evaluative questions — assess reasoning quality and comprehension of the script, not a single fixed answer.</w:t>
            </w:r>
          </w:p>
        </w:tc>
      </w:tr>
    </w:tbl>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2026-07-20T18:06:11.611Z</dcterms:created>
  <dcterms:modified xsi:type="dcterms:W3CDTF">2026-07-20T18:06:11.612Z</dcterms:modified>
</cp:coreProperties>
</file>

<file path=docProps/custom.xml><?xml version="1.0" encoding="utf-8"?>
<Properties xmlns="http://schemas.openxmlformats.org/officeDocument/2006/custom-properties" xmlns:vt="http://schemas.openxmlformats.org/officeDocument/2006/docPropsVTypes"/>
</file>